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93554" w14:textId="455AB964" w:rsidR="00BB03DF" w:rsidRDefault="00C83C7E" w:rsidP="00C83C7E">
      <w:pPr>
        <w:pStyle w:val="Pagedecouverture"/>
        <w:rPr>
          <w:noProof/>
        </w:rPr>
      </w:pPr>
      <w:bookmarkStart w:id="0" w:name="LW_BM_COVERPAGE"/>
      <w:r>
        <w:rPr>
          <w:noProof/>
        </w:rPr>
        <w:pict w14:anchorId="34355B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alt="AF52FEEC-1EC7-413C-8B3B-4E93F513A305" style="width:455.4pt;height:333pt">
            <v:imagedata r:id="rId12" o:title=""/>
          </v:shape>
        </w:pict>
      </w:r>
    </w:p>
    <w:bookmarkEnd w:id="0"/>
    <w:p w14:paraId="42BC8FB6" w14:textId="3AC9BE97" w:rsidR="00750A5A" w:rsidRPr="00750A5A" w:rsidRDefault="00750A5A" w:rsidP="007C0D21">
      <w:pPr>
        <w:pStyle w:val="Pagedecouverture"/>
        <w:rPr>
          <w:noProof/>
        </w:rPr>
        <w:sectPr w:rsidR="00750A5A" w:rsidRPr="00750A5A" w:rsidSect="00C83C7E">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sdt>
      <w:sdtPr>
        <w:rPr>
          <w:rFonts w:ascii="Times New Roman" w:eastAsiaTheme="minorEastAsia" w:hAnsi="Times New Roman" w:cs="Times New Roman"/>
          <w:noProof/>
          <w:color w:val="auto"/>
          <w:sz w:val="22"/>
          <w:szCs w:val="22"/>
        </w:rPr>
        <w:id w:val="-93792246"/>
        <w:docPartObj>
          <w:docPartGallery w:val="Table of Contents"/>
          <w:docPartUnique/>
        </w:docPartObj>
      </w:sdtPr>
      <w:sdtEndPr>
        <w:rPr>
          <w:b/>
          <w:bCs/>
        </w:rPr>
      </w:sdtEndPr>
      <w:sdtContent>
        <w:p w14:paraId="7257E8D0" w14:textId="70532B71" w:rsidR="00782CEA" w:rsidRDefault="006618FB">
          <w:pPr>
            <w:pStyle w:val="TOCHeading"/>
            <w:spacing w:after="120"/>
            <w:jc w:val="both"/>
            <w:rPr>
              <w:rFonts w:ascii="Times New Roman" w:eastAsia="Times New Roman" w:hAnsi="Times New Roman" w:cs="Times New Roman"/>
              <w:noProof/>
            </w:rPr>
          </w:pPr>
          <w:r>
            <w:rPr>
              <w:rFonts w:ascii="Times New Roman" w:hAnsi="Times New Roman" w:cs="Times New Roman"/>
              <w:noProof/>
            </w:rPr>
            <w:t>Contents</w:t>
          </w:r>
        </w:p>
        <w:p w14:paraId="5BD4A0F2" w14:textId="77777777" w:rsidR="0045284A" w:rsidRDefault="006618FB">
          <w:pPr>
            <w:pStyle w:val="TOC2"/>
            <w:tabs>
              <w:tab w:val="left" w:pos="720"/>
              <w:tab w:val="right" w:leader="dot" w:pos="9016"/>
            </w:tabs>
            <w:rPr>
              <w:rFonts w:eastAsiaTheme="minorEastAsia"/>
              <w:noProof/>
              <w:kern w:val="2"/>
              <w:sz w:val="24"/>
              <w:szCs w:val="24"/>
              <w:lang w:eastAsia="en-GB"/>
              <w14:ligatures w14:val="standardContextual"/>
            </w:rPr>
          </w:pPr>
          <w:r>
            <w:rPr>
              <w:rFonts w:ascii="Times New Roman" w:hAnsi="Times New Roman" w:cs="Times New Roman"/>
              <w:noProof/>
            </w:rPr>
            <w:fldChar w:fldCharType="begin"/>
          </w:r>
          <w:r>
            <w:rPr>
              <w:rFonts w:ascii="Times New Roman" w:hAnsi="Times New Roman" w:cs="Times New Roman"/>
              <w:noProof/>
            </w:rPr>
            <w:instrText xml:space="preserve"> TOC \o "1-3" \h \z \u </w:instrText>
          </w:r>
          <w:r>
            <w:rPr>
              <w:rFonts w:ascii="Times New Roman" w:hAnsi="Times New Roman" w:cs="Times New Roman"/>
              <w:noProof/>
            </w:rPr>
            <w:fldChar w:fldCharType="separate"/>
          </w:r>
          <w:hyperlink w:anchor="_Toc224218955" w:history="1">
            <w:r>
              <w:rPr>
                <w:rStyle w:val="Hyperlink"/>
                <w:rFonts w:ascii="Times New Roman" w:eastAsia="Times New Roman" w:hAnsi="Times New Roman" w:cs="Times New Roman"/>
                <w:noProof/>
              </w:rPr>
              <w:t>1.</w:t>
            </w:r>
            <w:r>
              <w:rPr>
                <w:rFonts w:eastAsiaTheme="minorEastAsia"/>
                <w:noProof/>
                <w:kern w:val="2"/>
                <w:sz w:val="24"/>
                <w:szCs w:val="24"/>
                <w:lang w:eastAsia="en-GB"/>
                <w14:ligatures w14:val="standardContextual"/>
              </w:rPr>
              <w:tab/>
            </w:r>
            <w:r>
              <w:rPr>
                <w:rStyle w:val="Hyperlink"/>
                <w:rFonts w:ascii="Times New Roman" w:eastAsia="Times New Roman" w:hAnsi="Times New Roman" w:cs="Times New Roman"/>
                <w:noProof/>
                <w:lang w:val="en-IE"/>
              </w:rPr>
              <w:t>Introduction: political and legal context</w:t>
            </w:r>
            <w:r>
              <w:rPr>
                <w:noProof/>
                <w:webHidden/>
              </w:rPr>
              <w:tab/>
            </w:r>
            <w:r>
              <w:rPr>
                <w:noProof/>
                <w:webHidden/>
              </w:rPr>
              <w:fldChar w:fldCharType="begin"/>
            </w:r>
            <w:r>
              <w:rPr>
                <w:noProof/>
                <w:webHidden/>
              </w:rPr>
              <w:instrText xml:space="preserve"> PAGEREF _Toc224218955 \h </w:instrText>
            </w:r>
            <w:r>
              <w:rPr>
                <w:noProof/>
                <w:webHidden/>
              </w:rPr>
            </w:r>
            <w:r>
              <w:rPr>
                <w:noProof/>
                <w:webHidden/>
              </w:rPr>
              <w:fldChar w:fldCharType="separate"/>
            </w:r>
            <w:r>
              <w:rPr>
                <w:noProof/>
                <w:webHidden/>
              </w:rPr>
              <w:t>2</w:t>
            </w:r>
            <w:r>
              <w:rPr>
                <w:noProof/>
                <w:webHidden/>
              </w:rPr>
              <w:fldChar w:fldCharType="end"/>
            </w:r>
          </w:hyperlink>
        </w:p>
        <w:p w14:paraId="6F60DF32" w14:textId="71305A4E" w:rsidR="002D23AA" w:rsidRDefault="002D23AA">
          <w:pPr>
            <w:pStyle w:val="TOC2"/>
            <w:tabs>
              <w:tab w:val="left" w:pos="720"/>
              <w:tab w:val="right" w:leader="dot" w:pos="9016"/>
            </w:tabs>
            <w:rPr>
              <w:rFonts w:eastAsiaTheme="minorEastAsia"/>
              <w:noProof/>
              <w:kern w:val="2"/>
              <w:sz w:val="24"/>
              <w:szCs w:val="24"/>
              <w:lang w:eastAsia="en-GB"/>
              <w14:ligatures w14:val="standardContextual"/>
            </w:rPr>
          </w:pPr>
          <w:hyperlink w:anchor="_Toc224218956" w:history="1">
            <w:r>
              <w:rPr>
                <w:rStyle w:val="Hyperlink"/>
                <w:rFonts w:ascii="Times New Roman" w:eastAsia="Times New Roman" w:hAnsi="Times New Roman" w:cs="Times New Roman"/>
                <w:noProof/>
                <w:lang w:val="en-IE"/>
              </w:rPr>
              <w:t>2.</w:t>
            </w:r>
            <w:r>
              <w:rPr>
                <w:rFonts w:eastAsiaTheme="minorEastAsia"/>
                <w:noProof/>
                <w:kern w:val="2"/>
                <w:sz w:val="24"/>
                <w:szCs w:val="24"/>
                <w:lang w:eastAsia="en-GB"/>
                <w14:ligatures w14:val="standardContextual"/>
              </w:rPr>
              <w:tab/>
            </w:r>
            <w:r>
              <w:rPr>
                <w:rStyle w:val="Hyperlink"/>
                <w:rFonts w:ascii="Times New Roman" w:eastAsia="Times New Roman" w:hAnsi="Times New Roman" w:cs="Times New Roman"/>
                <w:noProof/>
                <w:lang w:val="en-IE"/>
              </w:rPr>
              <w:t>Problem definition</w:t>
            </w:r>
            <w:r>
              <w:rPr>
                <w:noProof/>
                <w:webHidden/>
              </w:rPr>
              <w:tab/>
            </w:r>
            <w:r>
              <w:rPr>
                <w:noProof/>
                <w:webHidden/>
              </w:rPr>
              <w:fldChar w:fldCharType="begin"/>
            </w:r>
            <w:r>
              <w:rPr>
                <w:noProof/>
                <w:webHidden/>
              </w:rPr>
              <w:instrText xml:space="preserve"> PAGEREF _Toc224218956 \h </w:instrText>
            </w:r>
            <w:r>
              <w:rPr>
                <w:noProof/>
                <w:webHidden/>
              </w:rPr>
            </w:r>
            <w:r>
              <w:rPr>
                <w:noProof/>
                <w:webHidden/>
              </w:rPr>
              <w:fldChar w:fldCharType="separate"/>
            </w:r>
            <w:r>
              <w:rPr>
                <w:noProof/>
                <w:webHidden/>
              </w:rPr>
              <w:t>3</w:t>
            </w:r>
            <w:r>
              <w:rPr>
                <w:noProof/>
                <w:webHidden/>
              </w:rPr>
              <w:fldChar w:fldCharType="end"/>
            </w:r>
          </w:hyperlink>
        </w:p>
        <w:p w14:paraId="725F78D2" w14:textId="518E7D50" w:rsidR="002D23AA" w:rsidRDefault="002D23AA">
          <w:pPr>
            <w:pStyle w:val="TOC2"/>
            <w:tabs>
              <w:tab w:val="left" w:pos="720"/>
              <w:tab w:val="right" w:leader="dot" w:pos="9016"/>
            </w:tabs>
            <w:rPr>
              <w:rFonts w:eastAsiaTheme="minorEastAsia"/>
              <w:noProof/>
              <w:kern w:val="2"/>
              <w:sz w:val="24"/>
              <w:szCs w:val="24"/>
              <w:lang w:eastAsia="en-GB"/>
              <w14:ligatures w14:val="standardContextual"/>
            </w:rPr>
          </w:pPr>
          <w:hyperlink w:anchor="_Toc224218957" w:history="1">
            <w:r>
              <w:rPr>
                <w:rStyle w:val="Hyperlink"/>
                <w:rFonts w:ascii="Times New Roman" w:eastAsia="Times New Roman" w:hAnsi="Times New Roman" w:cs="Times New Roman"/>
                <w:noProof/>
                <w:lang w:val="en-IE"/>
              </w:rPr>
              <w:t>3.</w:t>
            </w:r>
            <w:r>
              <w:rPr>
                <w:rFonts w:eastAsiaTheme="minorEastAsia"/>
                <w:noProof/>
                <w:kern w:val="2"/>
                <w:sz w:val="24"/>
                <w:szCs w:val="24"/>
                <w:lang w:eastAsia="en-GB"/>
                <w14:ligatures w14:val="standardContextual"/>
              </w:rPr>
              <w:tab/>
            </w:r>
            <w:r>
              <w:rPr>
                <w:rStyle w:val="Hyperlink"/>
                <w:rFonts w:ascii="Times New Roman" w:eastAsia="Times New Roman" w:hAnsi="Times New Roman" w:cs="Times New Roman"/>
                <w:noProof/>
                <w:lang w:val="en-IE"/>
              </w:rPr>
              <w:t>Determination of eligibility</w:t>
            </w:r>
            <w:r>
              <w:rPr>
                <w:noProof/>
                <w:webHidden/>
              </w:rPr>
              <w:tab/>
            </w:r>
            <w:r>
              <w:rPr>
                <w:noProof/>
                <w:webHidden/>
              </w:rPr>
              <w:fldChar w:fldCharType="begin"/>
            </w:r>
            <w:r>
              <w:rPr>
                <w:noProof/>
                <w:webHidden/>
              </w:rPr>
              <w:instrText xml:space="preserve"> PAGEREF _Toc224218957 \h </w:instrText>
            </w:r>
            <w:r>
              <w:rPr>
                <w:noProof/>
                <w:webHidden/>
              </w:rPr>
            </w:r>
            <w:r>
              <w:rPr>
                <w:noProof/>
                <w:webHidden/>
              </w:rPr>
              <w:fldChar w:fldCharType="separate"/>
            </w:r>
            <w:r>
              <w:rPr>
                <w:noProof/>
                <w:webHidden/>
              </w:rPr>
              <w:t>4</w:t>
            </w:r>
            <w:r>
              <w:rPr>
                <w:noProof/>
                <w:webHidden/>
              </w:rPr>
              <w:fldChar w:fldCharType="end"/>
            </w:r>
          </w:hyperlink>
        </w:p>
        <w:p w14:paraId="53AB13A3" w14:textId="249A8AA1" w:rsidR="002D23AA" w:rsidRDefault="002D23AA">
          <w:pPr>
            <w:pStyle w:val="TOC2"/>
            <w:tabs>
              <w:tab w:val="left" w:pos="960"/>
              <w:tab w:val="right" w:leader="dot" w:pos="9016"/>
            </w:tabs>
            <w:rPr>
              <w:rFonts w:eastAsiaTheme="minorEastAsia"/>
              <w:noProof/>
              <w:kern w:val="2"/>
              <w:sz w:val="24"/>
              <w:szCs w:val="24"/>
              <w:lang w:eastAsia="en-GB"/>
              <w14:ligatures w14:val="standardContextual"/>
            </w:rPr>
          </w:pPr>
          <w:hyperlink w:anchor="_Toc224218958" w:history="1">
            <w:r>
              <w:rPr>
                <w:rStyle w:val="Hyperlink"/>
                <w:rFonts w:ascii="Times New Roman" w:eastAsia="Times New Roman" w:hAnsi="Times New Roman" w:cs="Times New Roman"/>
                <w:bCs/>
                <w:noProof/>
                <w:lang w:val="en-IE"/>
              </w:rPr>
              <w:t>3.1.</w:t>
            </w:r>
            <w:r>
              <w:rPr>
                <w:rFonts w:eastAsiaTheme="minorEastAsia"/>
                <w:noProof/>
                <w:kern w:val="2"/>
                <w:sz w:val="24"/>
                <w:szCs w:val="24"/>
                <w:lang w:eastAsia="en-GB"/>
                <w14:ligatures w14:val="standardContextual"/>
              </w:rPr>
              <w:tab/>
            </w:r>
            <w:r>
              <w:rPr>
                <w:rStyle w:val="Hyperlink"/>
                <w:rFonts w:ascii="Times New Roman" w:eastAsia="Times New Roman" w:hAnsi="Times New Roman" w:cs="Times New Roman"/>
                <w:noProof/>
                <w:lang w:val="en-IE"/>
              </w:rPr>
              <w:t xml:space="preserve">Derivation of indicators </w:t>
            </w:r>
            <w:r>
              <w:rPr>
                <w:rStyle w:val="Hyperlink"/>
                <w:rFonts w:ascii="Times New Roman" w:eastAsia="Times New Roman" w:hAnsi="Times New Roman" w:cs="Times New Roman"/>
                <w:bCs/>
                <w:noProof/>
                <w:lang w:val="en-IE"/>
              </w:rPr>
              <w:t xml:space="preserve">to determine </w:t>
            </w:r>
            <w:r>
              <w:rPr>
                <w:rStyle w:val="Hyperlink"/>
                <w:rFonts w:ascii="Times New Roman" w:eastAsia="Times New Roman" w:hAnsi="Times New Roman" w:cs="Times New Roman"/>
                <w:noProof/>
                <w:lang w:val="en-IE"/>
              </w:rPr>
              <w:t>remaining carbon leakage risks</w:t>
            </w:r>
            <w:r>
              <w:rPr>
                <w:noProof/>
                <w:webHidden/>
              </w:rPr>
              <w:tab/>
            </w:r>
            <w:r>
              <w:rPr>
                <w:noProof/>
                <w:webHidden/>
              </w:rPr>
              <w:fldChar w:fldCharType="begin"/>
            </w:r>
            <w:r>
              <w:rPr>
                <w:noProof/>
                <w:webHidden/>
              </w:rPr>
              <w:instrText xml:space="preserve"> PAGEREF _Toc224218958 \h </w:instrText>
            </w:r>
            <w:r>
              <w:rPr>
                <w:noProof/>
                <w:webHidden/>
              </w:rPr>
            </w:r>
            <w:r>
              <w:rPr>
                <w:noProof/>
                <w:webHidden/>
              </w:rPr>
              <w:fldChar w:fldCharType="separate"/>
            </w:r>
            <w:r>
              <w:rPr>
                <w:noProof/>
                <w:webHidden/>
              </w:rPr>
              <w:t>4</w:t>
            </w:r>
            <w:r>
              <w:rPr>
                <w:noProof/>
                <w:webHidden/>
              </w:rPr>
              <w:fldChar w:fldCharType="end"/>
            </w:r>
          </w:hyperlink>
        </w:p>
        <w:p w14:paraId="651D3E16" w14:textId="3EAEC1C4" w:rsidR="002D23AA" w:rsidRDefault="002D23AA">
          <w:pPr>
            <w:pStyle w:val="TOC2"/>
            <w:tabs>
              <w:tab w:val="left" w:pos="960"/>
              <w:tab w:val="right" w:leader="dot" w:pos="9016"/>
            </w:tabs>
            <w:rPr>
              <w:rFonts w:eastAsiaTheme="minorEastAsia"/>
              <w:noProof/>
              <w:kern w:val="2"/>
              <w:sz w:val="24"/>
              <w:szCs w:val="24"/>
              <w:lang w:eastAsia="en-GB"/>
              <w14:ligatures w14:val="standardContextual"/>
            </w:rPr>
          </w:pPr>
          <w:hyperlink w:anchor="_Toc224218959" w:history="1">
            <w:r>
              <w:rPr>
                <w:rStyle w:val="Hyperlink"/>
                <w:rFonts w:ascii="Times New Roman" w:eastAsia="Times New Roman" w:hAnsi="Times New Roman" w:cs="Times New Roman"/>
                <w:noProof/>
                <w:lang w:val="en-IE"/>
              </w:rPr>
              <w:t>3.1.1.</w:t>
            </w:r>
            <w:r>
              <w:rPr>
                <w:rFonts w:eastAsiaTheme="minorEastAsia"/>
                <w:noProof/>
                <w:kern w:val="2"/>
                <w:sz w:val="24"/>
                <w:szCs w:val="24"/>
                <w:lang w:eastAsia="en-GB"/>
                <w14:ligatures w14:val="standardContextual"/>
              </w:rPr>
              <w:tab/>
            </w:r>
            <w:r>
              <w:rPr>
                <w:rStyle w:val="Hyperlink"/>
                <w:rFonts w:ascii="Times New Roman" w:eastAsia="Times New Roman" w:hAnsi="Times New Roman" w:cs="Times New Roman"/>
                <w:noProof/>
                <w:lang w:val="en-IE"/>
              </w:rPr>
              <w:t>Background: Approach to determine the carbon leakage list in phase III and phase IV of the EU ETS</w:t>
            </w:r>
            <w:r>
              <w:rPr>
                <w:noProof/>
                <w:webHidden/>
              </w:rPr>
              <w:tab/>
            </w:r>
            <w:r>
              <w:rPr>
                <w:noProof/>
                <w:webHidden/>
              </w:rPr>
              <w:fldChar w:fldCharType="begin"/>
            </w:r>
            <w:r>
              <w:rPr>
                <w:noProof/>
                <w:webHidden/>
              </w:rPr>
              <w:instrText xml:space="preserve"> PAGEREF _Toc224218959 \h </w:instrText>
            </w:r>
            <w:r>
              <w:rPr>
                <w:noProof/>
                <w:webHidden/>
              </w:rPr>
            </w:r>
            <w:r>
              <w:rPr>
                <w:noProof/>
                <w:webHidden/>
              </w:rPr>
              <w:fldChar w:fldCharType="separate"/>
            </w:r>
            <w:r>
              <w:rPr>
                <w:noProof/>
                <w:webHidden/>
              </w:rPr>
              <w:t>4</w:t>
            </w:r>
            <w:r>
              <w:rPr>
                <w:noProof/>
                <w:webHidden/>
              </w:rPr>
              <w:fldChar w:fldCharType="end"/>
            </w:r>
          </w:hyperlink>
        </w:p>
        <w:p w14:paraId="2DE3C515" w14:textId="7A1783F2" w:rsidR="002D23AA" w:rsidRDefault="002D23AA">
          <w:pPr>
            <w:pStyle w:val="TOC2"/>
            <w:tabs>
              <w:tab w:val="left" w:pos="960"/>
              <w:tab w:val="right" w:leader="dot" w:pos="9016"/>
            </w:tabs>
            <w:rPr>
              <w:rFonts w:eastAsiaTheme="minorEastAsia"/>
              <w:noProof/>
              <w:kern w:val="2"/>
              <w:sz w:val="24"/>
              <w:szCs w:val="24"/>
              <w:lang w:eastAsia="en-GB"/>
              <w14:ligatures w14:val="standardContextual"/>
            </w:rPr>
          </w:pPr>
          <w:hyperlink w:anchor="_Toc224218960" w:history="1">
            <w:r>
              <w:rPr>
                <w:rStyle w:val="Hyperlink"/>
                <w:rFonts w:ascii="Times New Roman" w:eastAsia="Times New Roman" w:hAnsi="Times New Roman" w:cs="Times New Roman"/>
                <w:noProof/>
                <w:lang w:val="en-IE"/>
              </w:rPr>
              <w:t>3.1.2.</w:t>
            </w:r>
            <w:r>
              <w:rPr>
                <w:rFonts w:eastAsiaTheme="minorEastAsia"/>
                <w:noProof/>
                <w:kern w:val="2"/>
                <w:sz w:val="24"/>
                <w:szCs w:val="24"/>
                <w:lang w:eastAsia="en-GB"/>
                <w14:ligatures w14:val="standardContextual"/>
              </w:rPr>
              <w:tab/>
            </w:r>
            <w:r>
              <w:rPr>
                <w:rStyle w:val="Hyperlink"/>
                <w:rFonts w:ascii="Times New Roman" w:eastAsia="Times New Roman" w:hAnsi="Times New Roman" w:cs="Times New Roman"/>
                <w:noProof/>
                <w:lang w:val="en-IE"/>
              </w:rPr>
              <w:t>Indicators for remaining carbon leakage risks</w:t>
            </w:r>
            <w:r>
              <w:rPr>
                <w:noProof/>
                <w:webHidden/>
              </w:rPr>
              <w:tab/>
            </w:r>
            <w:r>
              <w:rPr>
                <w:noProof/>
                <w:webHidden/>
              </w:rPr>
              <w:fldChar w:fldCharType="begin"/>
            </w:r>
            <w:r>
              <w:rPr>
                <w:noProof/>
                <w:webHidden/>
              </w:rPr>
              <w:instrText xml:space="preserve"> PAGEREF _Toc224218960 \h </w:instrText>
            </w:r>
            <w:r>
              <w:rPr>
                <w:noProof/>
                <w:webHidden/>
              </w:rPr>
            </w:r>
            <w:r>
              <w:rPr>
                <w:noProof/>
                <w:webHidden/>
              </w:rPr>
              <w:fldChar w:fldCharType="separate"/>
            </w:r>
            <w:r>
              <w:rPr>
                <w:noProof/>
                <w:webHidden/>
              </w:rPr>
              <w:t>4</w:t>
            </w:r>
            <w:r>
              <w:rPr>
                <w:noProof/>
                <w:webHidden/>
              </w:rPr>
              <w:fldChar w:fldCharType="end"/>
            </w:r>
          </w:hyperlink>
        </w:p>
        <w:p w14:paraId="160C9079" w14:textId="42CB6DBE" w:rsidR="002D23AA" w:rsidRDefault="002D23AA">
          <w:pPr>
            <w:pStyle w:val="TOC2"/>
            <w:tabs>
              <w:tab w:val="left" w:pos="960"/>
              <w:tab w:val="right" w:leader="dot" w:pos="9016"/>
            </w:tabs>
            <w:rPr>
              <w:rFonts w:eastAsiaTheme="minorEastAsia"/>
              <w:noProof/>
              <w:kern w:val="2"/>
              <w:sz w:val="24"/>
              <w:szCs w:val="24"/>
              <w:lang w:eastAsia="en-GB"/>
              <w14:ligatures w14:val="standardContextual"/>
            </w:rPr>
          </w:pPr>
          <w:hyperlink w:anchor="_Toc224218961" w:history="1">
            <w:r>
              <w:rPr>
                <w:rStyle w:val="Hyperlink"/>
                <w:rFonts w:ascii="Times New Roman" w:eastAsia="Times New Roman" w:hAnsi="Times New Roman" w:cs="Times New Roman"/>
                <w:noProof/>
                <w:lang w:val="en-IE"/>
              </w:rPr>
              <w:t>3.2.</w:t>
            </w:r>
            <w:r>
              <w:rPr>
                <w:rFonts w:eastAsiaTheme="minorEastAsia"/>
                <w:noProof/>
                <w:kern w:val="2"/>
                <w:sz w:val="24"/>
                <w:szCs w:val="24"/>
                <w:lang w:eastAsia="en-GB"/>
                <w14:ligatures w14:val="standardContextual"/>
              </w:rPr>
              <w:tab/>
            </w:r>
            <w:r>
              <w:rPr>
                <w:rStyle w:val="Hyperlink"/>
                <w:rFonts w:ascii="Times New Roman" w:hAnsi="Times New Roman" w:cs="Times New Roman"/>
                <w:noProof/>
                <w:lang w:val="en-IE"/>
              </w:rPr>
              <w:t>Proposed approach to determine the remaining carbon leakage risk</w:t>
            </w:r>
            <w:r>
              <w:rPr>
                <w:noProof/>
                <w:webHidden/>
              </w:rPr>
              <w:tab/>
            </w:r>
            <w:r>
              <w:rPr>
                <w:noProof/>
                <w:webHidden/>
              </w:rPr>
              <w:fldChar w:fldCharType="begin"/>
            </w:r>
            <w:r>
              <w:rPr>
                <w:noProof/>
                <w:webHidden/>
              </w:rPr>
              <w:instrText xml:space="preserve"> PAGEREF _Toc224218961 \h </w:instrText>
            </w:r>
            <w:r>
              <w:rPr>
                <w:noProof/>
                <w:webHidden/>
              </w:rPr>
            </w:r>
            <w:r>
              <w:rPr>
                <w:noProof/>
                <w:webHidden/>
              </w:rPr>
              <w:fldChar w:fldCharType="separate"/>
            </w:r>
            <w:r>
              <w:rPr>
                <w:noProof/>
                <w:webHidden/>
              </w:rPr>
              <w:t>5</w:t>
            </w:r>
            <w:r>
              <w:rPr>
                <w:noProof/>
                <w:webHidden/>
              </w:rPr>
              <w:fldChar w:fldCharType="end"/>
            </w:r>
          </w:hyperlink>
        </w:p>
        <w:p w14:paraId="7B0F1D43" w14:textId="11FB3307" w:rsidR="002D23AA" w:rsidRDefault="002D23AA">
          <w:pPr>
            <w:pStyle w:val="TOC2"/>
            <w:tabs>
              <w:tab w:val="left" w:pos="960"/>
              <w:tab w:val="right" w:leader="dot" w:pos="9016"/>
            </w:tabs>
            <w:rPr>
              <w:rFonts w:eastAsiaTheme="minorEastAsia"/>
              <w:noProof/>
              <w:kern w:val="2"/>
              <w:sz w:val="24"/>
              <w:szCs w:val="24"/>
              <w:lang w:eastAsia="en-GB"/>
              <w14:ligatures w14:val="standardContextual"/>
            </w:rPr>
          </w:pPr>
          <w:hyperlink w:anchor="_Toc224218962" w:history="1">
            <w:r>
              <w:rPr>
                <w:rStyle w:val="Hyperlink"/>
                <w:rFonts w:ascii="Times New Roman" w:eastAsia="Times New Roman" w:hAnsi="Times New Roman" w:cs="Times New Roman"/>
                <w:noProof/>
                <w:lang w:val="en-IE"/>
              </w:rPr>
              <w:t>3.3.</w:t>
            </w:r>
            <w:r>
              <w:rPr>
                <w:rFonts w:eastAsiaTheme="minorEastAsia"/>
                <w:noProof/>
                <w:kern w:val="2"/>
                <w:sz w:val="24"/>
                <w:szCs w:val="24"/>
                <w:lang w:eastAsia="en-GB"/>
                <w14:ligatures w14:val="standardContextual"/>
              </w:rPr>
              <w:tab/>
            </w:r>
            <w:r>
              <w:rPr>
                <w:rStyle w:val="Hyperlink"/>
                <w:rFonts w:ascii="Times New Roman" w:eastAsia="Times New Roman" w:hAnsi="Times New Roman" w:cs="Times New Roman"/>
                <w:noProof/>
                <w:lang w:val="en-IE"/>
              </w:rPr>
              <w:t>Preferred option to determine eligibility of goods for the measure</w:t>
            </w:r>
            <w:r>
              <w:rPr>
                <w:noProof/>
                <w:webHidden/>
              </w:rPr>
              <w:tab/>
            </w:r>
            <w:r>
              <w:rPr>
                <w:noProof/>
                <w:webHidden/>
              </w:rPr>
              <w:fldChar w:fldCharType="begin"/>
            </w:r>
            <w:r>
              <w:rPr>
                <w:noProof/>
                <w:webHidden/>
              </w:rPr>
              <w:instrText xml:space="preserve"> PAGEREF _Toc224218962 \h </w:instrText>
            </w:r>
            <w:r>
              <w:rPr>
                <w:noProof/>
                <w:webHidden/>
              </w:rPr>
            </w:r>
            <w:r>
              <w:rPr>
                <w:noProof/>
                <w:webHidden/>
              </w:rPr>
              <w:fldChar w:fldCharType="separate"/>
            </w:r>
            <w:r>
              <w:rPr>
                <w:noProof/>
                <w:webHidden/>
              </w:rPr>
              <w:t>5</w:t>
            </w:r>
            <w:r>
              <w:rPr>
                <w:noProof/>
                <w:webHidden/>
              </w:rPr>
              <w:fldChar w:fldCharType="end"/>
            </w:r>
          </w:hyperlink>
        </w:p>
        <w:p w14:paraId="0DE29319" w14:textId="18322AB8" w:rsidR="002D23AA" w:rsidRDefault="002D23AA">
          <w:pPr>
            <w:pStyle w:val="TOC2"/>
            <w:tabs>
              <w:tab w:val="left" w:pos="960"/>
              <w:tab w:val="right" w:leader="dot" w:pos="9016"/>
            </w:tabs>
            <w:rPr>
              <w:rFonts w:eastAsiaTheme="minorEastAsia"/>
              <w:noProof/>
              <w:kern w:val="2"/>
              <w:sz w:val="24"/>
              <w:szCs w:val="24"/>
              <w:lang w:eastAsia="en-GB"/>
              <w14:ligatures w14:val="standardContextual"/>
            </w:rPr>
          </w:pPr>
          <w:hyperlink w:anchor="_Toc224218963" w:history="1">
            <w:r>
              <w:rPr>
                <w:rStyle w:val="Hyperlink"/>
                <w:rFonts w:ascii="Times New Roman" w:eastAsia="Times New Roman" w:hAnsi="Times New Roman" w:cs="Times New Roman"/>
                <w:noProof/>
                <w:lang w:val="en-IE"/>
              </w:rPr>
              <w:t>3.4.</w:t>
            </w:r>
            <w:r>
              <w:rPr>
                <w:rFonts w:eastAsiaTheme="minorEastAsia"/>
                <w:noProof/>
                <w:kern w:val="2"/>
                <w:sz w:val="24"/>
                <w:szCs w:val="24"/>
                <w:lang w:eastAsia="en-GB"/>
                <w14:ligatures w14:val="standardContextual"/>
              </w:rPr>
              <w:tab/>
            </w:r>
            <w:r>
              <w:rPr>
                <w:rStyle w:val="Hyperlink"/>
                <w:rFonts w:ascii="Times New Roman" w:eastAsia="Times New Roman" w:hAnsi="Times New Roman" w:cs="Times New Roman"/>
                <w:noProof/>
                <w:lang w:val="en-IE"/>
              </w:rPr>
              <w:t>Alternative option to determine eligibility of goods for the measure</w:t>
            </w:r>
            <w:r>
              <w:rPr>
                <w:noProof/>
                <w:webHidden/>
              </w:rPr>
              <w:tab/>
            </w:r>
            <w:r>
              <w:rPr>
                <w:noProof/>
                <w:webHidden/>
              </w:rPr>
              <w:fldChar w:fldCharType="begin"/>
            </w:r>
            <w:r>
              <w:rPr>
                <w:noProof/>
                <w:webHidden/>
              </w:rPr>
              <w:instrText xml:space="preserve"> PAGEREF _Toc224218963 \h </w:instrText>
            </w:r>
            <w:r>
              <w:rPr>
                <w:noProof/>
                <w:webHidden/>
              </w:rPr>
            </w:r>
            <w:r>
              <w:rPr>
                <w:noProof/>
                <w:webHidden/>
              </w:rPr>
              <w:fldChar w:fldCharType="separate"/>
            </w:r>
            <w:r>
              <w:rPr>
                <w:noProof/>
                <w:webHidden/>
              </w:rPr>
              <w:t>6</w:t>
            </w:r>
            <w:r>
              <w:rPr>
                <w:noProof/>
                <w:webHidden/>
              </w:rPr>
              <w:fldChar w:fldCharType="end"/>
            </w:r>
          </w:hyperlink>
        </w:p>
        <w:p w14:paraId="4831CE05" w14:textId="50641065" w:rsidR="002D23AA" w:rsidRDefault="002D23AA">
          <w:pPr>
            <w:pStyle w:val="TOC2"/>
            <w:tabs>
              <w:tab w:val="left" w:pos="720"/>
              <w:tab w:val="right" w:leader="dot" w:pos="9016"/>
            </w:tabs>
            <w:rPr>
              <w:rFonts w:eastAsiaTheme="minorEastAsia"/>
              <w:noProof/>
              <w:kern w:val="2"/>
              <w:sz w:val="24"/>
              <w:szCs w:val="24"/>
              <w:lang w:eastAsia="en-GB"/>
              <w14:ligatures w14:val="standardContextual"/>
            </w:rPr>
          </w:pPr>
          <w:hyperlink w:anchor="_Toc224218964" w:history="1">
            <w:r>
              <w:rPr>
                <w:rStyle w:val="Hyperlink"/>
                <w:rFonts w:ascii="Times New Roman" w:eastAsia="Times New Roman" w:hAnsi="Times New Roman" w:cs="Times New Roman"/>
                <w:noProof/>
                <w:lang w:val="en-IE"/>
              </w:rPr>
              <w:t>4.</w:t>
            </w:r>
            <w:r>
              <w:rPr>
                <w:rFonts w:eastAsiaTheme="minorEastAsia"/>
                <w:noProof/>
                <w:kern w:val="2"/>
                <w:sz w:val="24"/>
                <w:szCs w:val="24"/>
                <w:lang w:eastAsia="en-GB"/>
                <w14:ligatures w14:val="standardContextual"/>
              </w:rPr>
              <w:tab/>
            </w:r>
            <w:r>
              <w:rPr>
                <w:rStyle w:val="Hyperlink"/>
                <w:rFonts w:ascii="Times New Roman" w:eastAsia="Times New Roman" w:hAnsi="Times New Roman" w:cs="Times New Roman"/>
                <w:noProof/>
                <w:lang w:val="en-IE"/>
              </w:rPr>
              <w:t>A targeted approach for specific national circumstances</w:t>
            </w:r>
            <w:r>
              <w:rPr>
                <w:noProof/>
                <w:webHidden/>
              </w:rPr>
              <w:tab/>
            </w:r>
            <w:r>
              <w:rPr>
                <w:noProof/>
                <w:webHidden/>
              </w:rPr>
              <w:fldChar w:fldCharType="begin"/>
            </w:r>
            <w:r>
              <w:rPr>
                <w:noProof/>
                <w:webHidden/>
              </w:rPr>
              <w:instrText xml:space="preserve"> PAGEREF _Toc224218964 \h </w:instrText>
            </w:r>
            <w:r>
              <w:rPr>
                <w:noProof/>
                <w:webHidden/>
              </w:rPr>
            </w:r>
            <w:r>
              <w:rPr>
                <w:noProof/>
                <w:webHidden/>
              </w:rPr>
              <w:fldChar w:fldCharType="separate"/>
            </w:r>
            <w:r>
              <w:rPr>
                <w:noProof/>
                <w:webHidden/>
              </w:rPr>
              <w:t>7</w:t>
            </w:r>
            <w:r>
              <w:rPr>
                <w:noProof/>
                <w:webHidden/>
              </w:rPr>
              <w:fldChar w:fldCharType="end"/>
            </w:r>
          </w:hyperlink>
        </w:p>
        <w:p w14:paraId="39B9688A" w14:textId="0887A0EE" w:rsidR="002D23AA" w:rsidRDefault="002D23AA">
          <w:pPr>
            <w:pStyle w:val="TOC2"/>
            <w:tabs>
              <w:tab w:val="left" w:pos="720"/>
              <w:tab w:val="right" w:leader="dot" w:pos="9016"/>
            </w:tabs>
            <w:rPr>
              <w:rFonts w:eastAsiaTheme="minorEastAsia"/>
              <w:noProof/>
              <w:kern w:val="2"/>
              <w:sz w:val="24"/>
              <w:szCs w:val="24"/>
              <w:lang w:eastAsia="en-GB"/>
              <w14:ligatures w14:val="standardContextual"/>
            </w:rPr>
          </w:pPr>
          <w:hyperlink w:anchor="_Toc224218965" w:history="1">
            <w:r>
              <w:rPr>
                <w:rStyle w:val="Hyperlink"/>
                <w:rFonts w:ascii="Times New Roman" w:eastAsia="Times New Roman" w:hAnsi="Times New Roman" w:cs="Times New Roman"/>
                <w:noProof/>
                <w:lang w:val="en-IE"/>
              </w:rPr>
              <w:t>5.</w:t>
            </w:r>
            <w:r>
              <w:rPr>
                <w:rFonts w:eastAsiaTheme="minorEastAsia"/>
                <w:noProof/>
                <w:kern w:val="2"/>
                <w:sz w:val="24"/>
                <w:szCs w:val="24"/>
                <w:lang w:eastAsia="en-GB"/>
                <w14:ligatures w14:val="standardContextual"/>
              </w:rPr>
              <w:tab/>
            </w:r>
            <w:r>
              <w:rPr>
                <w:rStyle w:val="Hyperlink"/>
                <w:rFonts w:ascii="Times New Roman" w:eastAsia="Times New Roman" w:hAnsi="Times New Roman" w:cs="Times New Roman"/>
                <w:noProof/>
                <w:lang w:val="en-IE"/>
              </w:rPr>
              <w:t>Proposed conditionality design</w:t>
            </w:r>
            <w:r>
              <w:rPr>
                <w:noProof/>
                <w:webHidden/>
              </w:rPr>
              <w:tab/>
            </w:r>
            <w:r>
              <w:rPr>
                <w:noProof/>
                <w:webHidden/>
              </w:rPr>
              <w:fldChar w:fldCharType="begin"/>
            </w:r>
            <w:r>
              <w:rPr>
                <w:noProof/>
                <w:webHidden/>
              </w:rPr>
              <w:instrText xml:space="preserve"> PAGEREF _Toc224218965 \h </w:instrText>
            </w:r>
            <w:r>
              <w:rPr>
                <w:noProof/>
                <w:webHidden/>
              </w:rPr>
            </w:r>
            <w:r>
              <w:rPr>
                <w:noProof/>
                <w:webHidden/>
              </w:rPr>
              <w:fldChar w:fldCharType="separate"/>
            </w:r>
            <w:r>
              <w:rPr>
                <w:noProof/>
                <w:webHidden/>
              </w:rPr>
              <w:t>8</w:t>
            </w:r>
            <w:r>
              <w:rPr>
                <w:noProof/>
                <w:webHidden/>
              </w:rPr>
              <w:fldChar w:fldCharType="end"/>
            </w:r>
          </w:hyperlink>
        </w:p>
        <w:p w14:paraId="18EC3DFE" w14:textId="5C193E46" w:rsidR="002D23AA" w:rsidRDefault="002D23AA">
          <w:pPr>
            <w:pStyle w:val="TOC2"/>
            <w:tabs>
              <w:tab w:val="left" w:pos="720"/>
              <w:tab w:val="right" w:leader="dot" w:pos="9016"/>
            </w:tabs>
            <w:rPr>
              <w:rFonts w:eastAsiaTheme="minorEastAsia"/>
              <w:noProof/>
              <w:kern w:val="2"/>
              <w:sz w:val="24"/>
              <w:szCs w:val="24"/>
              <w:lang w:eastAsia="en-GB"/>
              <w14:ligatures w14:val="standardContextual"/>
            </w:rPr>
          </w:pPr>
          <w:hyperlink w:anchor="_Toc224218966" w:history="1">
            <w:r>
              <w:rPr>
                <w:rStyle w:val="Hyperlink"/>
                <w:rFonts w:ascii="Times New Roman" w:eastAsia="Times New Roman" w:hAnsi="Times New Roman" w:cs="Times New Roman"/>
                <w:noProof/>
                <w:lang w:val="en-IE"/>
              </w:rPr>
              <w:t>6.</w:t>
            </w:r>
            <w:r>
              <w:rPr>
                <w:rFonts w:eastAsiaTheme="minorEastAsia"/>
                <w:noProof/>
                <w:kern w:val="2"/>
                <w:sz w:val="24"/>
                <w:szCs w:val="24"/>
                <w:lang w:eastAsia="en-GB"/>
                <w14:ligatures w14:val="standardContextual"/>
              </w:rPr>
              <w:tab/>
            </w:r>
            <w:r>
              <w:rPr>
                <w:rStyle w:val="Hyperlink"/>
                <w:rFonts w:ascii="Times New Roman" w:eastAsia="Times New Roman" w:hAnsi="Times New Roman" w:cs="Times New Roman"/>
                <w:noProof/>
                <w:lang w:val="en-IE"/>
              </w:rPr>
              <w:t>Engagement with stakeholders</w:t>
            </w:r>
            <w:r>
              <w:rPr>
                <w:noProof/>
                <w:webHidden/>
              </w:rPr>
              <w:tab/>
            </w:r>
            <w:r>
              <w:rPr>
                <w:noProof/>
                <w:webHidden/>
              </w:rPr>
              <w:fldChar w:fldCharType="begin"/>
            </w:r>
            <w:r>
              <w:rPr>
                <w:noProof/>
                <w:webHidden/>
              </w:rPr>
              <w:instrText xml:space="preserve"> PAGEREF _Toc224218966 \h </w:instrText>
            </w:r>
            <w:r>
              <w:rPr>
                <w:noProof/>
                <w:webHidden/>
              </w:rPr>
            </w:r>
            <w:r>
              <w:rPr>
                <w:noProof/>
                <w:webHidden/>
              </w:rPr>
              <w:fldChar w:fldCharType="separate"/>
            </w:r>
            <w:r>
              <w:rPr>
                <w:noProof/>
                <w:webHidden/>
              </w:rPr>
              <w:t>9</w:t>
            </w:r>
            <w:r>
              <w:rPr>
                <w:noProof/>
                <w:webHidden/>
              </w:rPr>
              <w:fldChar w:fldCharType="end"/>
            </w:r>
          </w:hyperlink>
        </w:p>
        <w:p w14:paraId="3A12F42B" w14:textId="1FCE1DD3" w:rsidR="002D23AA" w:rsidRDefault="002D23AA">
          <w:pPr>
            <w:pStyle w:val="TOC2"/>
            <w:tabs>
              <w:tab w:val="right" w:leader="dot" w:pos="9016"/>
            </w:tabs>
            <w:rPr>
              <w:rFonts w:eastAsiaTheme="minorEastAsia"/>
              <w:noProof/>
              <w:kern w:val="2"/>
              <w:sz w:val="24"/>
              <w:szCs w:val="24"/>
              <w:lang w:eastAsia="en-GB"/>
              <w14:ligatures w14:val="standardContextual"/>
            </w:rPr>
          </w:pPr>
          <w:hyperlink w:anchor="_Toc224218967" w:history="1">
            <w:r>
              <w:rPr>
                <w:rStyle w:val="Hyperlink"/>
                <w:rFonts w:ascii="Times New Roman" w:eastAsia="Times New Roman" w:hAnsi="Times New Roman" w:cs="Times New Roman"/>
                <w:noProof/>
                <w:lang w:val="en-IE"/>
              </w:rPr>
              <w:t>Annex 1: proposed list of eligible goods and respective TDFCL indicator</w:t>
            </w:r>
            <w:r>
              <w:rPr>
                <w:noProof/>
                <w:webHidden/>
              </w:rPr>
              <w:tab/>
            </w:r>
            <w:r>
              <w:rPr>
                <w:noProof/>
                <w:webHidden/>
              </w:rPr>
              <w:fldChar w:fldCharType="begin"/>
            </w:r>
            <w:r>
              <w:rPr>
                <w:noProof/>
                <w:webHidden/>
              </w:rPr>
              <w:instrText xml:space="preserve"> PAGEREF _Toc224218967 \h </w:instrText>
            </w:r>
            <w:r>
              <w:rPr>
                <w:noProof/>
                <w:webHidden/>
              </w:rPr>
            </w:r>
            <w:r>
              <w:rPr>
                <w:noProof/>
                <w:webHidden/>
              </w:rPr>
              <w:fldChar w:fldCharType="separate"/>
            </w:r>
            <w:r>
              <w:rPr>
                <w:noProof/>
                <w:webHidden/>
              </w:rPr>
              <w:t>11</w:t>
            </w:r>
            <w:r>
              <w:rPr>
                <w:noProof/>
                <w:webHidden/>
              </w:rPr>
              <w:fldChar w:fldCharType="end"/>
            </w:r>
          </w:hyperlink>
        </w:p>
        <w:p w14:paraId="39F8F264" w14:textId="042DE69F" w:rsidR="00782CEA" w:rsidRDefault="006618FB">
          <w:pPr>
            <w:jc w:val="both"/>
            <w:rPr>
              <w:rFonts w:ascii="Times New Roman" w:eastAsia="Times New Roman" w:hAnsi="Times New Roman" w:cs="Times New Roman"/>
              <w:noProof/>
            </w:rPr>
          </w:pPr>
          <w:r>
            <w:rPr>
              <w:rFonts w:ascii="Times New Roman" w:hAnsi="Times New Roman" w:cs="Times New Roman"/>
              <w:b/>
              <w:bCs/>
              <w:noProof/>
            </w:rPr>
            <w:fldChar w:fldCharType="end"/>
          </w:r>
        </w:p>
      </w:sdtContent>
    </w:sdt>
    <w:p w14:paraId="1E77C6D7" w14:textId="77777777" w:rsidR="00782CEA" w:rsidRDefault="00782CEA">
      <w:pPr>
        <w:rPr>
          <w:rFonts w:ascii="Times New Roman" w:eastAsia="Times New Roman" w:hAnsi="Times New Roman" w:cs="Times New Roman"/>
          <w:noProof/>
          <w:color w:val="2F5496" w:themeColor="accent1" w:themeShade="BF"/>
          <w:sz w:val="32"/>
          <w:szCs w:val="32"/>
          <w:lang w:val="en-IE"/>
        </w:rPr>
      </w:pPr>
      <w:bookmarkStart w:id="1" w:name="_Toc57366480"/>
      <w:bookmarkStart w:id="2" w:name="_Toc60701585"/>
      <w:bookmarkStart w:id="3" w:name="_Toc60717003"/>
      <w:bookmarkStart w:id="4" w:name="_Toc60880776"/>
    </w:p>
    <w:p w14:paraId="7413D7C8" w14:textId="77777777" w:rsidR="00782CEA" w:rsidRDefault="006618FB">
      <w:pPr>
        <w:rPr>
          <w:rFonts w:ascii="Times New Roman" w:eastAsia="Times New Roman" w:hAnsi="Times New Roman" w:cs="Times New Roman"/>
          <w:noProof/>
          <w:color w:val="2F5496" w:themeColor="accent1" w:themeShade="BF"/>
          <w:sz w:val="26"/>
          <w:szCs w:val="26"/>
          <w:lang w:val="en-IE"/>
        </w:rPr>
      </w:pPr>
      <w:bookmarkStart w:id="5" w:name="_Toc57366481"/>
      <w:bookmarkStart w:id="6" w:name="_Toc60701586"/>
      <w:bookmarkStart w:id="7" w:name="_Toc60717004"/>
      <w:bookmarkStart w:id="8" w:name="_Toc60880777"/>
      <w:bookmarkEnd w:id="1"/>
      <w:bookmarkEnd w:id="2"/>
      <w:bookmarkEnd w:id="3"/>
      <w:bookmarkEnd w:id="4"/>
      <w:r>
        <w:rPr>
          <w:rFonts w:ascii="Times New Roman" w:eastAsia="Times New Roman" w:hAnsi="Times New Roman" w:cs="Times New Roman"/>
          <w:noProof/>
          <w:lang w:val="en-IE"/>
        </w:rPr>
        <w:br w:type="page"/>
      </w:r>
    </w:p>
    <w:p w14:paraId="3849FDE8" w14:textId="47FE77A7" w:rsidR="00782CEA" w:rsidRDefault="006618FB" w:rsidP="0042793A">
      <w:pPr>
        <w:pStyle w:val="Heading2"/>
        <w:numPr>
          <w:ilvl w:val="0"/>
          <w:numId w:val="2"/>
        </w:numPr>
        <w:spacing w:after="240" w:line="240" w:lineRule="auto"/>
        <w:jc w:val="both"/>
        <w:rPr>
          <w:rFonts w:ascii="Times New Roman" w:eastAsia="Times New Roman" w:hAnsi="Times New Roman" w:cs="Times New Roman"/>
          <w:noProof/>
        </w:rPr>
      </w:pPr>
      <w:bookmarkStart w:id="9" w:name="_Toc224218955"/>
      <w:bookmarkStart w:id="10" w:name="_Toc214972100"/>
      <w:r>
        <w:rPr>
          <w:rFonts w:ascii="Times New Roman" w:eastAsia="Times New Roman" w:hAnsi="Times New Roman" w:cs="Times New Roman"/>
          <w:noProof/>
          <w:lang w:val="en-IE"/>
        </w:rPr>
        <w:lastRenderedPageBreak/>
        <w:t>Introduction</w:t>
      </w:r>
      <w:r w:rsidR="00775AE4">
        <w:rPr>
          <w:rFonts w:ascii="Times New Roman" w:eastAsia="Times New Roman" w:hAnsi="Times New Roman" w:cs="Times New Roman"/>
          <w:noProof/>
          <w:lang w:val="en-IE"/>
        </w:rPr>
        <w:t>: political and legal context</w:t>
      </w:r>
      <w:bookmarkEnd w:id="9"/>
      <w:bookmarkEnd w:id="10"/>
      <w:r>
        <w:rPr>
          <w:rFonts w:ascii="Times New Roman" w:eastAsia="Times New Roman" w:hAnsi="Times New Roman" w:cs="Times New Roman"/>
          <w:noProof/>
          <w:lang w:val="en-IE"/>
        </w:rPr>
        <w:t xml:space="preserve"> </w:t>
      </w:r>
      <w:bookmarkEnd w:id="5"/>
      <w:bookmarkEnd w:id="6"/>
      <w:bookmarkEnd w:id="7"/>
      <w:bookmarkEnd w:id="8"/>
    </w:p>
    <w:p w14:paraId="6C1B5C59" w14:textId="77777777" w:rsidR="0005222D" w:rsidRPr="00BB239D" w:rsidRDefault="2C7B831F" w:rsidP="00C125CB">
      <w:pPr>
        <w:jc w:val="both"/>
        <w:rPr>
          <w:rFonts w:ascii="Times New Roman" w:hAnsi="Times New Roman" w:cs="Times New Roman"/>
          <w:noProof/>
        </w:rPr>
      </w:pPr>
      <w:r w:rsidRPr="00BB239D">
        <w:rPr>
          <w:rFonts w:ascii="Times New Roman" w:hAnsi="Times New Roman" w:cs="Times New Roman"/>
          <w:noProof/>
        </w:rPr>
        <w:t>Regulation (EU) 2021/1119 of the European Parliament and of the Council (‘the European Climate Law’)</w:t>
      </w:r>
      <w:r w:rsidR="00CB4F82" w:rsidRPr="00BB239D">
        <w:rPr>
          <w:rStyle w:val="FootnoteReference"/>
          <w:rFonts w:ascii="Times New Roman" w:hAnsi="Times New Roman" w:cs="Times New Roman"/>
          <w:noProof/>
        </w:rPr>
        <w:footnoteReference w:id="2"/>
      </w:r>
      <w:r w:rsidRPr="00BB239D">
        <w:rPr>
          <w:rFonts w:ascii="Times New Roman" w:hAnsi="Times New Roman" w:cs="Times New Roman"/>
          <w:noProof/>
        </w:rPr>
        <w:t xml:space="preserve"> set</w:t>
      </w:r>
      <w:r w:rsidR="00C40950" w:rsidRPr="00BB239D">
        <w:rPr>
          <w:rFonts w:ascii="Times New Roman" w:hAnsi="Times New Roman" w:cs="Times New Roman"/>
          <w:noProof/>
        </w:rPr>
        <w:t>s</w:t>
      </w:r>
      <w:r w:rsidRPr="00BB239D">
        <w:rPr>
          <w:rFonts w:ascii="Times New Roman" w:hAnsi="Times New Roman" w:cs="Times New Roman"/>
          <w:noProof/>
        </w:rPr>
        <w:t xml:space="preserve"> a legally binding economy-wide target of net zero greenhouse gas emissions at the latest by 2050, and an intermediate target of reducing net greenhouse gas emissions by at least 55% by 2030, compared to 1990 levels.</w:t>
      </w:r>
      <w:r w:rsidRPr="00BB239D">
        <w:rPr>
          <w:rStyle w:val="FootnoteReference"/>
          <w:rFonts w:ascii="Times New Roman" w:hAnsi="Times New Roman" w:cs="Times New Roman"/>
          <w:noProof/>
        </w:rPr>
        <w:footnoteReference w:id="3"/>
      </w:r>
    </w:p>
    <w:p w14:paraId="1AB9B1DF" w14:textId="3DBB5484" w:rsidR="00C125CB" w:rsidRPr="00BB239D" w:rsidRDefault="00052BB7" w:rsidP="00C125CB">
      <w:pPr>
        <w:jc w:val="both"/>
        <w:rPr>
          <w:rFonts w:ascii="Times New Roman" w:hAnsi="Times New Roman" w:cs="Times New Roman"/>
          <w:noProof/>
          <w:lang w:val="en-IE"/>
        </w:rPr>
      </w:pPr>
      <w:r w:rsidRPr="00BB239D">
        <w:rPr>
          <w:rFonts w:ascii="Times New Roman" w:hAnsi="Times New Roman" w:cs="Times New Roman"/>
          <w:noProof/>
        </w:rPr>
        <w:t xml:space="preserve">In </w:t>
      </w:r>
      <w:r w:rsidR="00673617" w:rsidRPr="00BB239D">
        <w:rPr>
          <w:rFonts w:ascii="Times New Roman" w:hAnsi="Times New Roman" w:cs="Times New Roman"/>
          <w:noProof/>
        </w:rPr>
        <w:t>2025</w:t>
      </w:r>
      <w:r w:rsidR="004B2899" w:rsidRPr="00BB239D">
        <w:rPr>
          <w:rFonts w:ascii="Times New Roman" w:hAnsi="Times New Roman" w:cs="Times New Roman"/>
          <w:noProof/>
        </w:rPr>
        <w:t>,</w:t>
      </w:r>
      <w:r w:rsidR="00673617" w:rsidRPr="00BB239D">
        <w:rPr>
          <w:rFonts w:ascii="Times New Roman" w:hAnsi="Times New Roman" w:cs="Times New Roman"/>
          <w:noProof/>
        </w:rPr>
        <w:t xml:space="preserve"> the European Commission </w:t>
      </w:r>
      <w:r w:rsidR="4B1DD805" w:rsidRPr="00BB239D">
        <w:rPr>
          <w:rFonts w:ascii="Times New Roman" w:hAnsi="Times New Roman" w:cs="Times New Roman"/>
          <w:noProof/>
        </w:rPr>
        <w:t>proposed a target of</w:t>
      </w:r>
      <w:r w:rsidR="00673617" w:rsidRPr="00BB239D">
        <w:rPr>
          <w:rFonts w:ascii="Times New Roman" w:hAnsi="Times New Roman" w:cs="Times New Roman"/>
          <w:noProof/>
        </w:rPr>
        <w:t xml:space="preserve"> a 90% reduction in net greenhouse gas (GHG) emissions by 2040, compared to 1990 levels. </w:t>
      </w:r>
      <w:r w:rsidR="00C125CB" w:rsidRPr="00BB239D" w:rsidDel="00C125CB">
        <w:rPr>
          <w:rFonts w:ascii="Times New Roman" w:hAnsi="Times New Roman" w:cs="Times New Roman"/>
          <w:noProof/>
        </w:rPr>
        <w:t>Th</w:t>
      </w:r>
      <w:r w:rsidR="3877E9E2" w:rsidRPr="00BB239D">
        <w:rPr>
          <w:rFonts w:ascii="Times New Roman" w:hAnsi="Times New Roman" w:cs="Times New Roman"/>
          <w:noProof/>
        </w:rPr>
        <w:t>is</w:t>
      </w:r>
      <w:r w:rsidR="00C125CB" w:rsidRPr="00BB239D">
        <w:rPr>
          <w:rFonts w:ascii="Times New Roman" w:hAnsi="Times New Roman" w:cs="Times New Roman"/>
          <w:noProof/>
        </w:rPr>
        <w:t xml:space="preserve"> proposed target takes full account of the current economic, security and geopolitical landscape in alignment with the EU Competitiveness Compass</w:t>
      </w:r>
      <w:r w:rsidR="00C125CB" w:rsidRPr="00BB239D">
        <w:rPr>
          <w:rStyle w:val="FootnoteReference"/>
          <w:rFonts w:ascii="Times New Roman" w:hAnsi="Times New Roman" w:cs="Times New Roman"/>
          <w:noProof/>
        </w:rPr>
        <w:footnoteReference w:id="4"/>
      </w:r>
      <w:r w:rsidR="00C125CB" w:rsidRPr="00BB239D">
        <w:rPr>
          <w:rFonts w:ascii="Times New Roman" w:hAnsi="Times New Roman" w:cs="Times New Roman"/>
          <w:noProof/>
        </w:rPr>
        <w:t>,</w:t>
      </w:r>
      <w:r w:rsidR="0071725A" w:rsidRPr="00BB239D">
        <w:rPr>
          <w:rFonts w:ascii="Times New Roman" w:hAnsi="Times New Roman" w:cs="Times New Roman"/>
          <w:noProof/>
        </w:rPr>
        <w:t xml:space="preserve"> and the</w:t>
      </w:r>
      <w:r w:rsidR="00C125CB" w:rsidRPr="00BB239D">
        <w:rPr>
          <w:rFonts w:ascii="Times New Roman" w:hAnsi="Times New Roman" w:cs="Times New Roman"/>
          <w:noProof/>
        </w:rPr>
        <w:t xml:space="preserve"> Clean Industrial Deal</w:t>
      </w:r>
      <w:r w:rsidR="00CD4F2A">
        <w:rPr>
          <w:rStyle w:val="FootnoteReference"/>
          <w:rFonts w:ascii="Times New Roman" w:hAnsi="Times New Roman" w:cs="Times New Roman"/>
          <w:noProof/>
        </w:rPr>
        <w:footnoteReference w:id="5"/>
      </w:r>
      <w:r w:rsidR="00C125CB" w:rsidRPr="00BB239D">
        <w:rPr>
          <w:rFonts w:ascii="Times New Roman" w:hAnsi="Times New Roman" w:cs="Times New Roman"/>
          <w:noProof/>
        </w:rPr>
        <w:t>. It</w:t>
      </w:r>
      <w:r w:rsidR="3469D6A7" w:rsidRPr="00BB239D">
        <w:rPr>
          <w:rFonts w:ascii="Times New Roman" w:hAnsi="Times New Roman" w:cs="Times New Roman"/>
          <w:noProof/>
        </w:rPr>
        <w:t xml:space="preserve"> aims to</w:t>
      </w:r>
      <w:r w:rsidR="00C125CB" w:rsidRPr="00BB239D">
        <w:rPr>
          <w:rFonts w:ascii="Times New Roman" w:hAnsi="Times New Roman" w:cs="Times New Roman"/>
          <w:noProof/>
        </w:rPr>
        <w:t xml:space="preserve"> provide the necessary predictability and stability for investments in the EU's clean energy transition and for driving industrial competitiveness. </w:t>
      </w:r>
    </w:p>
    <w:p w14:paraId="4832D62B" w14:textId="724DC943" w:rsidR="00772F22" w:rsidRPr="00BB239D" w:rsidRDefault="001450BA" w:rsidP="00772F22">
      <w:pPr>
        <w:jc w:val="both"/>
        <w:rPr>
          <w:rFonts w:ascii="Times New Roman" w:hAnsi="Times New Roman" w:cs="Times New Roman"/>
          <w:noProof/>
        </w:rPr>
      </w:pPr>
      <w:r w:rsidRPr="00BB239D">
        <w:rPr>
          <w:rFonts w:ascii="Times New Roman" w:hAnsi="Times New Roman" w:cs="Times New Roman"/>
          <w:noProof/>
        </w:rPr>
        <w:t xml:space="preserve">The emissions of large industrial installations are regulated </w:t>
      </w:r>
      <w:r w:rsidR="00C125CB" w:rsidRPr="00BB239D">
        <w:rPr>
          <w:rFonts w:ascii="Times New Roman" w:hAnsi="Times New Roman" w:cs="Times New Roman"/>
          <w:noProof/>
        </w:rPr>
        <w:t>by the EU Emissions Trading System (ETS).</w:t>
      </w:r>
      <w:r w:rsidRPr="00BB239D">
        <w:rPr>
          <w:rFonts w:ascii="Times New Roman" w:hAnsi="Times New Roman" w:cs="Times New Roman"/>
          <w:noProof/>
        </w:rPr>
        <w:t xml:space="preserve"> </w:t>
      </w:r>
      <w:r w:rsidR="00C125CB" w:rsidRPr="00BB239D">
        <w:rPr>
          <w:rFonts w:ascii="Times New Roman" w:hAnsi="Times New Roman" w:cs="Times New Roman"/>
          <w:noProof/>
        </w:rPr>
        <w:t>The current EU ETS legislation sets an emission reduction target of 62% for stationary installations, aviation and maritime (ETS1) by 2030 compared to 2005.</w:t>
      </w:r>
      <w:r w:rsidRPr="00BB239D">
        <w:rPr>
          <w:rFonts w:ascii="Times New Roman" w:hAnsi="Times New Roman" w:cs="Times New Roman"/>
          <w:noProof/>
        </w:rPr>
        <w:t xml:space="preserve"> </w:t>
      </w:r>
      <w:r w:rsidR="00772F22" w:rsidRPr="00BB239D">
        <w:rPr>
          <w:rFonts w:ascii="Times New Roman" w:hAnsi="Times New Roman" w:cs="Times New Roman"/>
          <w:noProof/>
        </w:rPr>
        <w:t>In 2026, the Commission is planning to conduct a comprehensive review of the EU ETS, assessing how the EU ETS can best be adjusted to promote cost-effective emission reductions in the covered sectors in line with climate neutrality in 2050 and the intermediate target for 2040.</w:t>
      </w:r>
    </w:p>
    <w:p w14:paraId="60B6587D" w14:textId="2D91C36B" w:rsidR="00CB4F82" w:rsidRPr="00BB239D" w:rsidRDefault="009B5BE2" w:rsidP="00B95AC5">
      <w:pPr>
        <w:jc w:val="both"/>
        <w:rPr>
          <w:rFonts w:ascii="Times New Roman" w:hAnsi="Times New Roman" w:cs="Times New Roman"/>
          <w:noProof/>
        </w:rPr>
      </w:pPr>
      <w:r w:rsidRPr="00BB239D">
        <w:rPr>
          <w:rFonts w:ascii="Times New Roman" w:hAnsi="Times New Roman" w:cs="Times New Roman"/>
          <w:noProof/>
        </w:rPr>
        <w:t>Over the coming decade, and to achieve climate neutrality by 2050, industry will have to go through a significant transformation to decarbonise and switch to cleaner and more energy efficient technologies. This transformation requires stepping up investments, while remaining competitive and affordable. The deployment, pace and scaling-up of existing and new technologies such as electrification, carbon removals and carbon capture and utilisation will need both public and private support.</w:t>
      </w:r>
    </w:p>
    <w:p w14:paraId="4EAC453A" w14:textId="2EA1B0F4" w:rsidR="002721BD" w:rsidRDefault="4FA491A1" w:rsidP="0796BD6F">
      <w:pPr>
        <w:spacing w:after="120"/>
        <w:jc w:val="both"/>
        <w:rPr>
          <w:rFonts w:ascii="Times New Roman" w:eastAsia="Times New Roman" w:hAnsi="Times New Roman" w:cs="Times New Roman"/>
          <w:noProof/>
          <w:color w:val="000000" w:themeColor="text1"/>
        </w:rPr>
      </w:pPr>
      <w:r w:rsidRPr="00BB239D">
        <w:rPr>
          <w:rFonts w:ascii="Times New Roman" w:hAnsi="Times New Roman" w:cs="Times New Roman"/>
          <w:noProof/>
        </w:rPr>
        <w:t>In line with the overall reduction targets, and considering that free allocation dampens the price signal to promote cost-effective emission reductions, the current EU ETS</w:t>
      </w:r>
      <w:r w:rsidR="00B329FF">
        <w:rPr>
          <w:rFonts w:ascii="Times New Roman" w:hAnsi="Times New Roman" w:cs="Times New Roman"/>
          <w:noProof/>
        </w:rPr>
        <w:t>1</w:t>
      </w:r>
      <w:r w:rsidRPr="00BB239D">
        <w:rPr>
          <w:rFonts w:ascii="Times New Roman" w:hAnsi="Times New Roman" w:cs="Times New Roman"/>
          <w:noProof/>
        </w:rPr>
        <w:t xml:space="preserve"> framework has </w:t>
      </w:r>
      <w:r w:rsidR="671FDC13" w:rsidRPr="00BB239D">
        <w:rPr>
          <w:rFonts w:ascii="Times New Roman" w:hAnsi="Times New Roman" w:cs="Times New Roman"/>
          <w:noProof/>
        </w:rPr>
        <w:t>built</w:t>
      </w:r>
      <w:r w:rsidRPr="00BB239D">
        <w:rPr>
          <w:rFonts w:ascii="Times New Roman" w:hAnsi="Times New Roman" w:cs="Times New Roman"/>
          <w:noProof/>
        </w:rPr>
        <w:t xml:space="preserve"> in several mechanisms to reduce free allocation</w:t>
      </w:r>
      <w:r w:rsidR="00175E78">
        <w:rPr>
          <w:rStyle w:val="FootnoteReference"/>
          <w:rFonts w:ascii="Times New Roman" w:hAnsi="Times New Roman" w:cs="Times New Roman"/>
          <w:noProof/>
        </w:rPr>
        <w:footnoteReference w:id="6"/>
      </w:r>
      <w:r w:rsidRPr="00BB239D">
        <w:rPr>
          <w:rFonts w:ascii="Times New Roman" w:hAnsi="Times New Roman" w:cs="Times New Roman"/>
          <w:noProof/>
        </w:rPr>
        <w:t xml:space="preserve"> until 2030, including the update of benchmarks as well as the application of the cross-sectoral correction factor. For a limited set of sectors</w:t>
      </w:r>
      <w:r w:rsidR="11DAE4F6" w:rsidRPr="00BB239D">
        <w:rPr>
          <w:rFonts w:ascii="Times New Roman" w:hAnsi="Times New Roman" w:cs="Times New Roman"/>
          <w:noProof/>
        </w:rPr>
        <w:t xml:space="preserve"> </w:t>
      </w:r>
      <w:r w:rsidR="1849EA6F" w:rsidRPr="00BB239D">
        <w:rPr>
          <w:rFonts w:ascii="Times New Roman" w:hAnsi="Times New Roman" w:cs="Times New Roman"/>
          <w:noProof/>
        </w:rPr>
        <w:t>(</w:t>
      </w:r>
      <w:r w:rsidR="362C95BB" w:rsidRPr="00BB239D">
        <w:rPr>
          <w:rFonts w:ascii="Times New Roman" w:hAnsi="Times New Roman" w:cs="Times New Roman"/>
          <w:noProof/>
        </w:rPr>
        <w:t xml:space="preserve">i.e. </w:t>
      </w:r>
      <w:r w:rsidR="1849EA6F" w:rsidRPr="00BB239D">
        <w:rPr>
          <w:rFonts w:ascii="Times New Roman" w:hAnsi="Times New Roman" w:cs="Times New Roman"/>
          <w:noProof/>
        </w:rPr>
        <w:t>iron &amp; steel, aluminium, cement, fertiliser</w:t>
      </w:r>
      <w:r w:rsidRPr="00BB239D">
        <w:rPr>
          <w:rFonts w:ascii="Times New Roman" w:hAnsi="Times New Roman" w:cs="Times New Roman"/>
          <w:noProof/>
        </w:rPr>
        <w:t>,</w:t>
      </w:r>
      <w:r w:rsidR="55E32468" w:rsidRPr="00BB239D">
        <w:rPr>
          <w:rFonts w:ascii="Times New Roman" w:hAnsi="Times New Roman" w:cs="Times New Roman"/>
          <w:noProof/>
        </w:rPr>
        <w:t xml:space="preserve"> hydrogen)</w:t>
      </w:r>
      <w:r w:rsidR="02D20049" w:rsidRPr="00BB239D">
        <w:rPr>
          <w:rFonts w:ascii="Times New Roman" w:hAnsi="Times New Roman" w:cs="Times New Roman"/>
          <w:noProof/>
        </w:rPr>
        <w:t>,</w:t>
      </w:r>
      <w:r w:rsidRPr="00BB239D">
        <w:rPr>
          <w:rFonts w:ascii="Times New Roman" w:hAnsi="Times New Roman" w:cs="Times New Roman"/>
          <w:noProof/>
        </w:rPr>
        <w:t xml:space="preserve"> free allocation is additionally reduced by the CBAM factor</w:t>
      </w:r>
      <w:r w:rsidR="00CE15A4" w:rsidRPr="00BB239D">
        <w:rPr>
          <w:rStyle w:val="FootnoteReference"/>
          <w:rFonts w:ascii="Times New Roman" w:hAnsi="Times New Roman" w:cs="Times New Roman"/>
          <w:noProof/>
        </w:rPr>
        <w:footnoteReference w:id="7"/>
      </w:r>
      <w:r w:rsidRPr="00BB239D">
        <w:rPr>
          <w:rFonts w:ascii="Times New Roman" w:hAnsi="Times New Roman" w:cs="Times New Roman"/>
          <w:noProof/>
        </w:rPr>
        <w:t xml:space="preserve">. </w:t>
      </w:r>
      <w:r>
        <w:rPr>
          <w:rFonts w:ascii="Times New Roman" w:eastAsia="Times New Roman" w:hAnsi="Times New Roman" w:cs="Times New Roman"/>
          <w:noProof/>
          <w:color w:val="000000" w:themeColor="text1"/>
          <w:lang w:val="en-IE"/>
        </w:rPr>
        <w:t>Preliminary estimations suggest that</w:t>
      </w:r>
      <w:r>
        <w:rPr>
          <w:rFonts w:ascii="Times New Roman" w:eastAsia="Times New Roman" w:hAnsi="Times New Roman" w:cs="Times New Roman"/>
          <w:noProof/>
          <w:color w:val="000000" w:themeColor="text1"/>
        </w:rPr>
        <w:t xml:space="preserve"> a total of 15 million allowances less would be allocated free of charge</w:t>
      </w:r>
      <w:r>
        <w:rPr>
          <w:rStyle w:val="FootnoteReference"/>
          <w:rFonts w:ascii="Times New Roman" w:eastAsia="Times New Roman" w:hAnsi="Times New Roman" w:cs="Times New Roman"/>
          <w:noProof/>
          <w:color w:val="000000" w:themeColor="text1"/>
        </w:rPr>
        <w:footnoteReference w:id="8"/>
      </w:r>
      <w:r>
        <w:rPr>
          <w:noProof/>
        </w:rPr>
        <w:t>.</w:t>
      </w:r>
      <w:r>
        <w:rPr>
          <w:rFonts w:ascii="Times New Roman" w:eastAsia="Times New Roman" w:hAnsi="Times New Roman" w:cs="Times New Roman"/>
          <w:noProof/>
          <w:color w:val="000000" w:themeColor="text1"/>
        </w:rPr>
        <w:t xml:space="preserve"> Assuming a carbon price of EUR 95/tonne, this corresponds to an estimated EUR 1.4 billion. This would constitute the maximum budget needed for the proposed measure (if all CBAM goods were covered).</w:t>
      </w:r>
      <w:r>
        <w:rPr>
          <w:rFonts w:ascii="Times New Roman" w:eastAsia="Times New Roman" w:hAnsi="Times New Roman" w:cs="Times New Roman"/>
          <w:noProof/>
          <w:color w:val="000000" w:themeColor="text1"/>
          <w:lang w:val="en-IE"/>
        </w:rPr>
        <w:t xml:space="preserve"> </w:t>
      </w:r>
    </w:p>
    <w:p w14:paraId="70F15107" w14:textId="56A6130F" w:rsidR="002721BD" w:rsidRDefault="4FA491A1" w:rsidP="1435B257">
      <w:pPr>
        <w:jc w:val="both"/>
        <w:rPr>
          <w:rFonts w:ascii="Times New Roman" w:hAnsi="Times New Roman" w:cs="Times New Roman"/>
          <w:noProof/>
        </w:rPr>
      </w:pPr>
      <w:r w:rsidRPr="00BB239D">
        <w:rPr>
          <w:rFonts w:ascii="Times New Roman" w:hAnsi="Times New Roman" w:cs="Times New Roman"/>
          <w:noProof/>
        </w:rPr>
        <w:t xml:space="preserve">For these sectors, the Carbon Border Adjustment Mechanism (CBAM) is, from 2026 onwards, gradually phased in as a complementary form of </w:t>
      </w:r>
      <w:r w:rsidR="748AD5AA" w:rsidRPr="00BB239D">
        <w:rPr>
          <w:rFonts w:ascii="Times New Roman" w:hAnsi="Times New Roman" w:cs="Times New Roman"/>
          <w:noProof/>
        </w:rPr>
        <w:t xml:space="preserve">protection against the risk of </w:t>
      </w:r>
      <w:r w:rsidRPr="00BB239D">
        <w:rPr>
          <w:rFonts w:ascii="Times New Roman" w:hAnsi="Times New Roman" w:cs="Times New Roman"/>
          <w:noProof/>
        </w:rPr>
        <w:t xml:space="preserve">carbon leakage. </w:t>
      </w:r>
      <w:r w:rsidR="00E0531B" w:rsidRPr="00BB239D">
        <w:rPr>
          <w:rFonts w:ascii="Times New Roman" w:hAnsi="Times New Roman" w:cs="Times New Roman"/>
          <w:noProof/>
        </w:rPr>
        <w:t>T</w:t>
      </w:r>
      <w:r w:rsidRPr="00BB239D">
        <w:rPr>
          <w:rFonts w:ascii="Times New Roman" w:hAnsi="Times New Roman" w:cs="Times New Roman"/>
          <w:noProof/>
        </w:rPr>
        <w:t xml:space="preserve">he CBAM </w:t>
      </w:r>
      <w:r w:rsidR="1C813D35" w:rsidRPr="00BB239D">
        <w:rPr>
          <w:rFonts w:ascii="Times New Roman" w:hAnsi="Times New Roman" w:cs="Times New Roman"/>
          <w:noProof/>
        </w:rPr>
        <w:t>addresses</w:t>
      </w:r>
      <w:r w:rsidRPr="00BB239D">
        <w:rPr>
          <w:rFonts w:ascii="Times New Roman" w:hAnsi="Times New Roman" w:cs="Times New Roman"/>
          <w:noProof/>
        </w:rPr>
        <w:t xml:space="preserve"> import-related carbon leakage risks for these sectors</w:t>
      </w:r>
      <w:r w:rsidR="006443F2" w:rsidRPr="00BB239D">
        <w:rPr>
          <w:rFonts w:ascii="Times New Roman" w:hAnsi="Times New Roman" w:cs="Times New Roman"/>
          <w:noProof/>
        </w:rPr>
        <w:t>.</w:t>
      </w:r>
      <w:r w:rsidR="009C5BAA" w:rsidRPr="00BB239D">
        <w:rPr>
          <w:rFonts w:ascii="Times New Roman" w:hAnsi="Times New Roman" w:cs="Times New Roman"/>
          <w:noProof/>
        </w:rPr>
        <w:t xml:space="preserve"> </w:t>
      </w:r>
      <w:r>
        <w:rPr>
          <w:rFonts w:ascii="Times New Roman" w:hAnsi="Times New Roman" w:cs="Times New Roman"/>
          <w:noProof/>
        </w:rPr>
        <w:t>The remaining risk of carbon leakage is not fully prevented by Regulation (EU) 2023/956 of the European Parliament and of the Council and should therefore be addressed through additional measures supporting the transition and promoting the decarbonisation of industrial sectors.</w:t>
      </w:r>
      <w:r w:rsidR="000601B7">
        <w:rPr>
          <w:rFonts w:ascii="Times New Roman" w:hAnsi="Times New Roman" w:cs="Times New Roman"/>
          <w:noProof/>
        </w:rPr>
        <w:t xml:space="preserve"> </w:t>
      </w:r>
      <w:r w:rsidR="09FACB68" w:rsidRPr="00BB239D">
        <w:rPr>
          <w:rFonts w:ascii="Times New Roman" w:hAnsi="Times New Roman" w:cs="Times New Roman"/>
          <w:noProof/>
        </w:rPr>
        <w:t>D</w:t>
      </w:r>
      <w:r w:rsidR="3FADA2AD" w:rsidRPr="00BB239D">
        <w:rPr>
          <w:rFonts w:ascii="Times New Roman" w:hAnsi="Times New Roman" w:cs="Times New Roman"/>
          <w:noProof/>
        </w:rPr>
        <w:t xml:space="preserve">ecarbonisation investments can help reduce the exposure of </w:t>
      </w:r>
      <w:r w:rsidR="2341DB7F" w:rsidRPr="00BB239D">
        <w:rPr>
          <w:rFonts w:ascii="Times New Roman" w:hAnsi="Times New Roman" w:cs="Times New Roman"/>
          <w:noProof/>
        </w:rPr>
        <w:t xml:space="preserve">these </w:t>
      </w:r>
      <w:r w:rsidR="3FADA2AD" w:rsidRPr="00BB239D">
        <w:rPr>
          <w:rFonts w:ascii="Times New Roman" w:hAnsi="Times New Roman" w:cs="Times New Roman"/>
          <w:noProof/>
        </w:rPr>
        <w:t>operators to</w:t>
      </w:r>
      <w:r w:rsidR="2341DB7F" w:rsidRPr="00BB239D">
        <w:rPr>
          <w:rFonts w:ascii="Times New Roman" w:hAnsi="Times New Roman" w:cs="Times New Roman"/>
          <w:noProof/>
        </w:rPr>
        <w:t xml:space="preserve"> </w:t>
      </w:r>
      <w:r w:rsidR="5FF93F23" w:rsidRPr="00BB239D">
        <w:rPr>
          <w:rFonts w:ascii="Times New Roman" w:hAnsi="Times New Roman" w:cs="Times New Roman"/>
          <w:noProof/>
        </w:rPr>
        <w:t xml:space="preserve">such </w:t>
      </w:r>
      <w:r w:rsidR="2341DB7F" w:rsidRPr="00BB239D">
        <w:rPr>
          <w:rFonts w:ascii="Times New Roman" w:hAnsi="Times New Roman" w:cs="Times New Roman"/>
          <w:noProof/>
        </w:rPr>
        <w:t>carbon leakage risks in the mid- and long-term.</w:t>
      </w:r>
      <w:r w:rsidR="3FADA2AD" w:rsidRPr="00BB239D">
        <w:rPr>
          <w:rFonts w:ascii="Times New Roman" w:hAnsi="Times New Roman" w:cs="Times New Roman"/>
          <w:noProof/>
        </w:rPr>
        <w:t xml:space="preserve"> </w:t>
      </w:r>
      <w:r w:rsidRPr="00BB239D">
        <w:rPr>
          <w:rFonts w:ascii="Times New Roman" w:hAnsi="Times New Roman" w:cs="Times New Roman"/>
          <w:noProof/>
        </w:rPr>
        <w:t xml:space="preserve">The objective of the present proposal is thus to </w:t>
      </w:r>
      <w:r w:rsidR="62F587E0" w:rsidRPr="00BB239D">
        <w:rPr>
          <w:rFonts w:ascii="Times New Roman" w:hAnsi="Times New Roman" w:cs="Times New Roman"/>
          <w:noProof/>
        </w:rPr>
        <w:t>temporarily</w:t>
      </w:r>
      <w:r w:rsidRPr="00BB239D">
        <w:rPr>
          <w:rFonts w:ascii="Times New Roman" w:hAnsi="Times New Roman" w:cs="Times New Roman"/>
          <w:noProof/>
        </w:rPr>
        <w:t xml:space="preserve"> support, </w:t>
      </w:r>
      <w:r w:rsidR="1586E01D" w:rsidRPr="00BB239D">
        <w:rPr>
          <w:rFonts w:ascii="Times New Roman" w:hAnsi="Times New Roman" w:cs="Times New Roman"/>
          <w:noProof/>
        </w:rPr>
        <w:t xml:space="preserve">during the production years </w:t>
      </w:r>
      <w:r w:rsidR="4D66112B" w:rsidRPr="00BB239D">
        <w:rPr>
          <w:rFonts w:ascii="Times New Roman" w:hAnsi="Times New Roman" w:cs="Times New Roman"/>
          <w:noProof/>
        </w:rPr>
        <w:t>2026</w:t>
      </w:r>
      <w:r w:rsidR="1586E01D" w:rsidRPr="00BB239D">
        <w:rPr>
          <w:rFonts w:ascii="Times New Roman" w:hAnsi="Times New Roman" w:cs="Times New Roman"/>
          <w:noProof/>
        </w:rPr>
        <w:t xml:space="preserve"> and 2027</w:t>
      </w:r>
      <w:r w:rsidRPr="00BB239D">
        <w:rPr>
          <w:rFonts w:ascii="Times New Roman" w:hAnsi="Times New Roman" w:cs="Times New Roman"/>
          <w:noProof/>
        </w:rPr>
        <w:t xml:space="preserve">, operators producing goods </w:t>
      </w:r>
      <w:r w:rsidR="7FB43C5D" w:rsidRPr="00BB239D">
        <w:rPr>
          <w:rFonts w:ascii="Times New Roman" w:hAnsi="Times New Roman" w:cs="Times New Roman"/>
          <w:noProof/>
        </w:rPr>
        <w:t xml:space="preserve">associated </w:t>
      </w:r>
      <w:r w:rsidRPr="00BB239D">
        <w:rPr>
          <w:rFonts w:ascii="Times New Roman" w:hAnsi="Times New Roman" w:cs="Times New Roman"/>
          <w:noProof/>
        </w:rPr>
        <w:t xml:space="preserve">with </w:t>
      </w:r>
      <w:r w:rsidR="100961A8" w:rsidRPr="00BB239D">
        <w:rPr>
          <w:rFonts w:ascii="Times New Roman" w:hAnsi="Times New Roman" w:cs="Times New Roman"/>
          <w:noProof/>
        </w:rPr>
        <w:t>a</w:t>
      </w:r>
      <w:r w:rsidR="00894E7B" w:rsidRPr="00BB239D">
        <w:rPr>
          <w:rFonts w:ascii="Times New Roman" w:hAnsi="Times New Roman" w:cs="Times New Roman"/>
          <w:noProof/>
        </w:rPr>
        <w:t xml:space="preserve"> particularl</w:t>
      </w:r>
      <w:r w:rsidR="00A232BA" w:rsidRPr="00BB239D">
        <w:rPr>
          <w:rFonts w:ascii="Times New Roman" w:hAnsi="Times New Roman" w:cs="Times New Roman"/>
          <w:noProof/>
        </w:rPr>
        <w:t>y</w:t>
      </w:r>
      <w:r w:rsidR="00894E7B" w:rsidRPr="00BB239D">
        <w:rPr>
          <w:rFonts w:ascii="Times New Roman" w:hAnsi="Times New Roman" w:cs="Times New Roman"/>
          <w:noProof/>
        </w:rPr>
        <w:t xml:space="preserve"> elevated</w:t>
      </w:r>
      <w:r w:rsidR="78C779AA" w:rsidRPr="00BB239D">
        <w:rPr>
          <w:rFonts w:ascii="Times New Roman" w:hAnsi="Times New Roman" w:cs="Times New Roman"/>
          <w:noProof/>
        </w:rPr>
        <w:t xml:space="preserve"> </w:t>
      </w:r>
      <w:r w:rsidR="59FD87E0" w:rsidRPr="00BB239D">
        <w:rPr>
          <w:rFonts w:ascii="Times New Roman" w:hAnsi="Times New Roman" w:cs="Times New Roman"/>
          <w:noProof/>
        </w:rPr>
        <w:t>remaining</w:t>
      </w:r>
      <w:r w:rsidRPr="00BB239D">
        <w:rPr>
          <w:rFonts w:ascii="Times New Roman" w:hAnsi="Times New Roman" w:cs="Times New Roman"/>
          <w:noProof/>
        </w:rPr>
        <w:t xml:space="preserve"> carbon leakage risk to effectively invest in decarbonisation measures.</w:t>
      </w:r>
      <w:r w:rsidR="2881F296" w:rsidRPr="00BB239D">
        <w:rPr>
          <w:rFonts w:ascii="Times New Roman" w:hAnsi="Times New Roman" w:cs="Times New Roman"/>
          <w:noProof/>
        </w:rPr>
        <w:t xml:space="preserve"> A more permanent solution may be envisaged in the </w:t>
      </w:r>
      <w:r w:rsidR="687235EC" w:rsidRPr="00BB239D">
        <w:rPr>
          <w:rFonts w:ascii="Times New Roman" w:hAnsi="Times New Roman" w:cs="Times New Roman"/>
          <w:noProof/>
        </w:rPr>
        <w:t xml:space="preserve">upcoming revision of the ETS Directive. </w:t>
      </w:r>
    </w:p>
    <w:p w14:paraId="633D0109" w14:textId="77777777" w:rsidR="000D396B" w:rsidRPr="00BB239D" w:rsidRDefault="000D396B" w:rsidP="000D396B">
      <w:pPr>
        <w:jc w:val="both"/>
        <w:rPr>
          <w:rFonts w:ascii="Times New Roman" w:hAnsi="Times New Roman" w:cs="Times New Roman"/>
          <w:noProof/>
        </w:rPr>
      </w:pPr>
      <w:r w:rsidRPr="00014EED">
        <w:rPr>
          <w:rFonts w:ascii="Times New Roman" w:hAnsi="Times New Roman" w:cs="Times New Roman"/>
          <w:noProof/>
        </w:rPr>
        <w:t>Action at Union level is necessary to address the abovementioned risks in a consistent manner across Member States. Measures at national level could lead to uncoordinated support across the Union, thus leading to distortions in the internal market and weakening the overall effectiveness of the EU ETS.</w:t>
      </w:r>
    </w:p>
    <w:p w14:paraId="2AA63CA3" w14:textId="2B808263" w:rsidR="00CB4F82" w:rsidRPr="00BB239D" w:rsidRDefault="005606BA" w:rsidP="00B95AC5">
      <w:pPr>
        <w:jc w:val="both"/>
        <w:rPr>
          <w:noProof/>
          <w:lang w:val="en-IE"/>
        </w:rPr>
      </w:pPr>
      <w:r w:rsidRPr="00BB239D">
        <w:rPr>
          <w:rFonts w:ascii="Times New Roman" w:hAnsi="Times New Roman" w:cs="Times New Roman"/>
          <w:noProof/>
        </w:rPr>
        <w:t>The</w:t>
      </w:r>
      <w:r w:rsidR="00CB4F82" w:rsidRPr="00BB239D">
        <w:rPr>
          <w:rFonts w:ascii="Times New Roman" w:hAnsi="Times New Roman" w:cs="Times New Roman"/>
          <w:noProof/>
        </w:rPr>
        <w:t xml:space="preserve"> </w:t>
      </w:r>
      <w:r w:rsidR="002B70EC" w:rsidRPr="00BB239D">
        <w:rPr>
          <w:rFonts w:ascii="Times New Roman" w:hAnsi="Times New Roman" w:cs="Times New Roman"/>
          <w:noProof/>
        </w:rPr>
        <w:t>measure to be proposed should</w:t>
      </w:r>
      <w:r w:rsidR="009766F8" w:rsidRPr="00BB239D">
        <w:rPr>
          <w:rFonts w:ascii="Times New Roman" w:hAnsi="Times New Roman" w:cs="Times New Roman"/>
          <w:noProof/>
        </w:rPr>
        <w:t xml:space="preserve"> be implemented quickly </w:t>
      </w:r>
      <w:r w:rsidR="00AB14F8" w:rsidRPr="00BB239D">
        <w:rPr>
          <w:rFonts w:ascii="Times New Roman" w:hAnsi="Times New Roman" w:cs="Times New Roman"/>
          <w:noProof/>
        </w:rPr>
        <w:t xml:space="preserve">to </w:t>
      </w:r>
      <w:r w:rsidR="00E01E41" w:rsidRPr="00BB239D">
        <w:rPr>
          <w:rFonts w:ascii="Times New Roman" w:hAnsi="Times New Roman" w:cs="Times New Roman"/>
          <w:noProof/>
        </w:rPr>
        <w:t>provide legal certainty</w:t>
      </w:r>
      <w:r w:rsidR="00B63765" w:rsidRPr="00BB239D">
        <w:rPr>
          <w:rFonts w:ascii="Times New Roman" w:hAnsi="Times New Roman" w:cs="Times New Roman"/>
          <w:noProof/>
        </w:rPr>
        <w:t>, and to avoid undue administrative burden</w:t>
      </w:r>
      <w:r w:rsidR="00076864" w:rsidRPr="00BB239D">
        <w:rPr>
          <w:rFonts w:ascii="Times New Roman" w:hAnsi="Times New Roman" w:cs="Times New Roman"/>
          <w:noProof/>
        </w:rPr>
        <w:t xml:space="preserve">. </w:t>
      </w:r>
      <w:r w:rsidR="00C51813" w:rsidRPr="00BB239D">
        <w:rPr>
          <w:rFonts w:ascii="Times New Roman" w:hAnsi="Times New Roman" w:cs="Times New Roman"/>
          <w:noProof/>
        </w:rPr>
        <w:t xml:space="preserve">The proposed temporary decarbonisation investment support should moreover be </w:t>
      </w:r>
      <w:r w:rsidR="0021486D" w:rsidRPr="00BB239D">
        <w:rPr>
          <w:rFonts w:ascii="Times New Roman" w:hAnsi="Times New Roman" w:cs="Times New Roman"/>
          <w:noProof/>
        </w:rPr>
        <w:t xml:space="preserve">precisely </w:t>
      </w:r>
      <w:r w:rsidR="00C51813" w:rsidRPr="00BB239D">
        <w:rPr>
          <w:rFonts w:ascii="Times New Roman" w:hAnsi="Times New Roman" w:cs="Times New Roman"/>
          <w:noProof/>
        </w:rPr>
        <w:t>targeted to production of goods with</w:t>
      </w:r>
      <w:r w:rsidR="003E44FD" w:rsidRPr="00BB239D">
        <w:rPr>
          <w:rFonts w:ascii="Times New Roman" w:hAnsi="Times New Roman" w:cs="Times New Roman"/>
          <w:noProof/>
        </w:rPr>
        <w:t xml:space="preserve"> a</w:t>
      </w:r>
      <w:r w:rsidR="00C51813" w:rsidRPr="00BB239D">
        <w:rPr>
          <w:rFonts w:ascii="Times New Roman" w:hAnsi="Times New Roman" w:cs="Times New Roman"/>
          <w:noProof/>
        </w:rPr>
        <w:t xml:space="preserve"> heightened level of </w:t>
      </w:r>
      <w:r w:rsidR="055CF519" w:rsidRPr="00BB239D">
        <w:rPr>
          <w:rFonts w:ascii="Times New Roman" w:hAnsi="Times New Roman" w:cs="Times New Roman"/>
          <w:noProof/>
        </w:rPr>
        <w:t>remaining</w:t>
      </w:r>
      <w:r w:rsidR="00C51813" w:rsidRPr="00BB239D">
        <w:rPr>
          <w:rFonts w:ascii="Times New Roman" w:hAnsi="Times New Roman" w:cs="Times New Roman"/>
          <w:noProof/>
        </w:rPr>
        <w:t xml:space="preserve"> carbon leakage risks, in order to</w:t>
      </w:r>
      <w:r w:rsidR="00E777AB" w:rsidRPr="00BB239D">
        <w:rPr>
          <w:rFonts w:ascii="Times New Roman" w:hAnsi="Times New Roman" w:cs="Times New Roman"/>
          <w:noProof/>
        </w:rPr>
        <w:t xml:space="preserve"> </w:t>
      </w:r>
      <w:r w:rsidR="2AF6EBE2" w:rsidRPr="00BB239D">
        <w:rPr>
          <w:rFonts w:ascii="Times New Roman" w:hAnsi="Times New Roman" w:cs="Times New Roman"/>
          <w:noProof/>
        </w:rPr>
        <w:t>be</w:t>
      </w:r>
      <w:r w:rsidR="00C51813" w:rsidRPr="00BB239D">
        <w:rPr>
          <w:rFonts w:ascii="Times New Roman" w:hAnsi="Times New Roman" w:cs="Times New Roman"/>
          <w:noProof/>
        </w:rPr>
        <w:t xml:space="preserve"> </w:t>
      </w:r>
      <w:r w:rsidR="0021486D" w:rsidRPr="00BB239D">
        <w:rPr>
          <w:rFonts w:ascii="Times New Roman" w:hAnsi="Times New Roman" w:cs="Times New Roman"/>
          <w:noProof/>
        </w:rPr>
        <w:t>proportionate</w:t>
      </w:r>
      <w:r w:rsidR="00C51813" w:rsidRPr="00BB239D">
        <w:rPr>
          <w:rFonts w:ascii="Times New Roman" w:hAnsi="Times New Roman" w:cs="Times New Roman"/>
          <w:noProof/>
        </w:rPr>
        <w:t xml:space="preserve"> and in order to avoid market distortions.</w:t>
      </w:r>
      <w:r w:rsidR="003202C4" w:rsidRPr="00BB239D">
        <w:rPr>
          <w:rFonts w:ascii="Times New Roman" w:hAnsi="Times New Roman" w:cs="Times New Roman"/>
          <w:noProof/>
        </w:rPr>
        <w:t xml:space="preserve"> </w:t>
      </w:r>
      <w:r w:rsidR="00C50C15" w:rsidRPr="00BB239D">
        <w:rPr>
          <w:rFonts w:ascii="Times New Roman" w:hAnsi="Times New Roman" w:cs="Times New Roman"/>
          <w:noProof/>
        </w:rPr>
        <w:t>The present document describes how these needs have b</w:t>
      </w:r>
      <w:r w:rsidR="000B1BD2" w:rsidRPr="00BB239D">
        <w:rPr>
          <w:rFonts w:ascii="Times New Roman" w:hAnsi="Times New Roman" w:cs="Times New Roman"/>
          <w:noProof/>
        </w:rPr>
        <w:t xml:space="preserve">een taken into account in the design of the proposed measure. </w:t>
      </w:r>
    </w:p>
    <w:p w14:paraId="768CD78C" w14:textId="77777777" w:rsidR="00A10D36" w:rsidRPr="00A10D36" w:rsidRDefault="00A10D36" w:rsidP="00A10D36">
      <w:pPr>
        <w:spacing w:line="240" w:lineRule="auto"/>
        <w:rPr>
          <w:rFonts w:ascii="Times New Roman" w:eastAsia="Times New Roman" w:hAnsi="Times New Roman" w:cs="Times New Roman"/>
          <w:noProof/>
          <w:sz w:val="24"/>
          <w:szCs w:val="24"/>
          <w:lang w:val="en-IE"/>
        </w:rPr>
      </w:pPr>
    </w:p>
    <w:p w14:paraId="6BE24D9B" w14:textId="726D95C3" w:rsidR="068E2D99" w:rsidRPr="00943C93" w:rsidRDefault="00CB643E" w:rsidP="068E2D99">
      <w:pPr>
        <w:pStyle w:val="Heading2"/>
        <w:numPr>
          <w:ilvl w:val="0"/>
          <w:numId w:val="2"/>
        </w:numPr>
        <w:spacing w:after="240" w:line="240" w:lineRule="auto"/>
        <w:ind w:left="357" w:hanging="357"/>
        <w:jc w:val="both"/>
        <w:rPr>
          <w:rFonts w:ascii="Times New Roman" w:eastAsia="Times New Roman" w:hAnsi="Times New Roman" w:cs="Times New Roman"/>
          <w:noProof/>
          <w:lang w:val="en-IE"/>
        </w:rPr>
      </w:pPr>
      <w:bookmarkStart w:id="11" w:name="_Toc224218956"/>
      <w:bookmarkStart w:id="12" w:name="_Toc214972101"/>
      <w:r>
        <w:rPr>
          <w:rFonts w:ascii="Times New Roman" w:eastAsia="Times New Roman" w:hAnsi="Times New Roman" w:cs="Times New Roman"/>
          <w:noProof/>
          <w:lang w:val="en-IE"/>
        </w:rPr>
        <w:t>Problem definition</w:t>
      </w:r>
      <w:bookmarkEnd w:id="11"/>
      <w:bookmarkEnd w:id="12"/>
    </w:p>
    <w:p w14:paraId="458048B2" w14:textId="20A4D0D1" w:rsidR="00EBDCC8" w:rsidRPr="00BB239D" w:rsidRDefault="08F5B6A4" w:rsidP="4977ACDA">
      <w:pPr>
        <w:jc w:val="both"/>
        <w:rPr>
          <w:rFonts w:ascii="Times New Roman" w:hAnsi="Times New Roman" w:cs="Times New Roman"/>
          <w:noProof/>
          <w:lang w:val="en-US"/>
        </w:rPr>
      </w:pPr>
      <w:r w:rsidRPr="00BB239D">
        <w:rPr>
          <w:rFonts w:ascii="Times New Roman" w:hAnsi="Times New Roman" w:cs="Times New Roman"/>
          <w:noProof/>
          <w:lang w:val="en-US"/>
        </w:rPr>
        <w:t xml:space="preserve">The decrease in emissions under the EU ETS in recent years was largely driven by the electricity sector. Emissions in the energy intensive </w:t>
      </w:r>
      <w:r w:rsidR="6B65B994" w:rsidRPr="00BB239D">
        <w:rPr>
          <w:rFonts w:ascii="Times New Roman" w:hAnsi="Times New Roman" w:cs="Times New Roman"/>
          <w:noProof/>
          <w:lang w:val="en-US"/>
        </w:rPr>
        <w:t>industries</w:t>
      </w:r>
      <w:r w:rsidRPr="00BB239D">
        <w:rPr>
          <w:rFonts w:ascii="Times New Roman" w:hAnsi="Times New Roman" w:cs="Times New Roman"/>
          <w:noProof/>
          <w:lang w:val="en-US"/>
        </w:rPr>
        <w:t>, on the other hand, experienced only slight decreases, which were also partly explained by decreases in output</w:t>
      </w:r>
      <w:r w:rsidR="09D7DC26" w:rsidRPr="00BB239D">
        <w:rPr>
          <w:rFonts w:ascii="Times New Roman" w:hAnsi="Times New Roman" w:cs="Times New Roman"/>
          <w:noProof/>
          <w:lang w:val="en-US"/>
        </w:rPr>
        <w:t>.</w:t>
      </w:r>
      <w:r w:rsidR="65788FFD" w:rsidRPr="00BB239D">
        <w:rPr>
          <w:rFonts w:ascii="Times New Roman" w:hAnsi="Times New Roman" w:cs="Times New Roman"/>
          <w:noProof/>
          <w:lang w:val="en-US"/>
        </w:rPr>
        <w:t xml:space="preserve"> </w:t>
      </w:r>
      <w:r w:rsidR="669F7981" w:rsidRPr="00BB239D">
        <w:rPr>
          <w:rFonts w:ascii="Times New Roman" w:hAnsi="Times New Roman" w:cs="Times New Roman"/>
          <w:noProof/>
          <w:lang w:val="en-US"/>
        </w:rPr>
        <w:t>The</w:t>
      </w:r>
      <w:r w:rsidR="47F04B41" w:rsidRPr="00BB239D">
        <w:rPr>
          <w:rFonts w:ascii="Times New Roman" w:hAnsi="Times New Roman" w:cs="Times New Roman"/>
          <w:noProof/>
          <w:lang w:val="en-US"/>
        </w:rPr>
        <w:t xml:space="preserve"> </w:t>
      </w:r>
      <w:r w:rsidR="65788FFD" w:rsidRPr="00BB239D">
        <w:rPr>
          <w:rFonts w:ascii="Times New Roman" w:hAnsi="Times New Roman" w:cs="Times New Roman"/>
          <w:noProof/>
          <w:lang w:val="en-US"/>
        </w:rPr>
        <w:t xml:space="preserve">availability and affordability of abatement options </w:t>
      </w:r>
      <w:r w:rsidR="09D7DC26" w:rsidRPr="00BB239D">
        <w:rPr>
          <w:rFonts w:ascii="Times New Roman" w:hAnsi="Times New Roman" w:cs="Times New Roman"/>
          <w:noProof/>
          <w:lang w:val="en-US"/>
        </w:rPr>
        <w:t>in these sectors</w:t>
      </w:r>
      <w:r w:rsidR="669F7981" w:rsidRPr="00BB239D">
        <w:rPr>
          <w:rFonts w:ascii="Times New Roman" w:hAnsi="Times New Roman" w:cs="Times New Roman"/>
          <w:noProof/>
          <w:lang w:val="en-US"/>
        </w:rPr>
        <w:t xml:space="preserve"> is not yet at the level of the power sector</w:t>
      </w:r>
      <w:r w:rsidR="09D7DC26" w:rsidRPr="00BB239D">
        <w:rPr>
          <w:rFonts w:ascii="Times New Roman" w:hAnsi="Times New Roman" w:cs="Times New Roman"/>
          <w:noProof/>
          <w:lang w:val="en-US"/>
        </w:rPr>
        <w:t>.</w:t>
      </w:r>
      <w:r w:rsidR="65788FFD" w:rsidRPr="00BB239D">
        <w:rPr>
          <w:rFonts w:ascii="Times New Roman" w:hAnsi="Times New Roman" w:cs="Times New Roman"/>
          <w:noProof/>
          <w:lang w:val="en-US"/>
        </w:rPr>
        <w:t xml:space="preserve"> </w:t>
      </w:r>
      <w:r w:rsidRPr="00BB239D">
        <w:rPr>
          <w:rFonts w:ascii="Times New Roman" w:hAnsi="Times New Roman" w:cs="Times New Roman"/>
          <w:noProof/>
          <w:lang w:val="en-US"/>
        </w:rPr>
        <w:t>Th</w:t>
      </w:r>
      <w:r w:rsidR="08C524A1" w:rsidRPr="00BB239D">
        <w:rPr>
          <w:rFonts w:ascii="Times New Roman" w:hAnsi="Times New Roman" w:cs="Times New Roman"/>
          <w:noProof/>
          <w:lang w:val="en-US"/>
        </w:rPr>
        <w:t>is</w:t>
      </w:r>
      <w:r w:rsidR="728B2203" w:rsidRPr="00BB239D">
        <w:rPr>
          <w:rFonts w:ascii="Times New Roman" w:hAnsi="Times New Roman" w:cs="Times New Roman"/>
          <w:noProof/>
          <w:lang w:val="en-US"/>
        </w:rPr>
        <w:t xml:space="preserve"> </w:t>
      </w:r>
      <w:r w:rsidR="08C524A1" w:rsidRPr="00BB239D">
        <w:rPr>
          <w:rFonts w:ascii="Times New Roman" w:hAnsi="Times New Roman" w:cs="Times New Roman"/>
          <w:noProof/>
          <w:lang w:val="en-US"/>
        </w:rPr>
        <w:t xml:space="preserve">points to a </w:t>
      </w:r>
      <w:r w:rsidR="0D6558A2" w:rsidRPr="00BB239D">
        <w:rPr>
          <w:rFonts w:ascii="Times New Roman" w:hAnsi="Times New Roman" w:cs="Times New Roman"/>
          <w:noProof/>
          <w:lang w:val="en-US"/>
        </w:rPr>
        <w:t>need for</w:t>
      </w:r>
      <w:r w:rsidRPr="00BB239D">
        <w:rPr>
          <w:rFonts w:ascii="Times New Roman" w:hAnsi="Times New Roman" w:cs="Times New Roman"/>
          <w:noProof/>
          <w:lang w:val="en-US"/>
        </w:rPr>
        <w:t xml:space="preserve"> investment into decarbonisation </w:t>
      </w:r>
      <w:r w:rsidR="65D10F4B" w:rsidRPr="00BB239D">
        <w:rPr>
          <w:rFonts w:ascii="Times New Roman" w:hAnsi="Times New Roman" w:cs="Times New Roman"/>
          <w:noProof/>
          <w:lang w:val="en-US"/>
        </w:rPr>
        <w:t xml:space="preserve">measures </w:t>
      </w:r>
      <w:r w:rsidRPr="00BB239D">
        <w:rPr>
          <w:rFonts w:ascii="Times New Roman" w:hAnsi="Times New Roman" w:cs="Times New Roman"/>
          <w:noProof/>
          <w:lang w:val="en-US"/>
        </w:rPr>
        <w:t>in these sectors</w:t>
      </w:r>
      <w:r w:rsidR="00EBDCC8" w:rsidRPr="00BB239D" w:rsidDel="13002C08">
        <w:rPr>
          <w:rFonts w:ascii="Times New Roman" w:hAnsi="Times New Roman" w:cs="Times New Roman"/>
          <w:noProof/>
          <w:lang w:val="en-US"/>
        </w:rPr>
        <w:t>,</w:t>
      </w:r>
      <w:r w:rsidR="13002C08" w:rsidRPr="00BB239D">
        <w:rPr>
          <w:rFonts w:ascii="Times New Roman" w:hAnsi="Times New Roman" w:cs="Times New Roman"/>
          <w:noProof/>
          <w:lang w:val="en-US"/>
        </w:rPr>
        <w:t xml:space="preserve"> </w:t>
      </w:r>
      <w:r w:rsidR="574D5EE8" w:rsidRPr="00BB239D">
        <w:rPr>
          <w:rFonts w:ascii="Times New Roman" w:hAnsi="Times New Roman" w:cs="Times New Roman"/>
          <w:noProof/>
          <w:lang w:val="en-US"/>
        </w:rPr>
        <w:t>because t</w:t>
      </w:r>
      <w:r w:rsidR="6E23B5C4" w:rsidRPr="00BB239D">
        <w:rPr>
          <w:rFonts w:ascii="Times New Roman" w:hAnsi="Times New Roman" w:cs="Times New Roman"/>
          <w:noProof/>
          <w:lang w:val="en-US"/>
        </w:rPr>
        <w:t xml:space="preserve">hese investments are needed to achieve EU climate targets and </w:t>
      </w:r>
      <w:r w:rsidR="469DA0C4" w:rsidRPr="00BB239D">
        <w:rPr>
          <w:rFonts w:ascii="Times New Roman" w:hAnsi="Times New Roman" w:cs="Times New Roman"/>
          <w:noProof/>
          <w:lang w:val="en-US"/>
        </w:rPr>
        <w:t>reduce the risk</w:t>
      </w:r>
      <w:r w:rsidR="46D666DA" w:rsidRPr="00BB239D">
        <w:rPr>
          <w:rFonts w:ascii="Times New Roman" w:hAnsi="Times New Roman" w:cs="Times New Roman"/>
          <w:noProof/>
          <w:lang w:val="en-US"/>
        </w:rPr>
        <w:t xml:space="preserve"> of carbon leakage</w:t>
      </w:r>
      <w:r w:rsidR="469DA0C4" w:rsidRPr="00BB239D">
        <w:rPr>
          <w:rFonts w:ascii="Times New Roman" w:hAnsi="Times New Roman" w:cs="Times New Roman"/>
          <w:noProof/>
          <w:lang w:val="en-US"/>
        </w:rPr>
        <w:t>.</w:t>
      </w:r>
    </w:p>
    <w:p w14:paraId="197BC187" w14:textId="3C360EC0" w:rsidR="00200B24" w:rsidRPr="00BB239D" w:rsidRDefault="1C50A699" w:rsidP="002D4BBD">
      <w:pPr>
        <w:jc w:val="both"/>
        <w:rPr>
          <w:rFonts w:ascii="Times New Roman" w:hAnsi="Times New Roman" w:cs="Times New Roman"/>
          <w:noProof/>
          <w:lang w:val="en-IE"/>
        </w:rPr>
      </w:pPr>
      <w:r w:rsidRPr="00BB239D">
        <w:rPr>
          <w:rFonts w:ascii="Times New Roman" w:hAnsi="Times New Roman" w:cs="Times New Roman"/>
          <w:noProof/>
          <w:lang w:val="en-US"/>
        </w:rPr>
        <w:t>Effective c</w:t>
      </w:r>
      <w:r w:rsidR="5D7C2B17" w:rsidRPr="00BB239D">
        <w:rPr>
          <w:rFonts w:ascii="Times New Roman" w:hAnsi="Times New Roman" w:cs="Times New Roman"/>
          <w:noProof/>
          <w:lang w:val="en-US"/>
        </w:rPr>
        <w:t xml:space="preserve">arbon costs </w:t>
      </w:r>
      <w:r w:rsidR="0A143C6F" w:rsidRPr="00BB239D">
        <w:rPr>
          <w:rFonts w:ascii="Times New Roman" w:hAnsi="Times New Roman" w:cs="Times New Roman"/>
          <w:noProof/>
          <w:lang w:val="en-US"/>
        </w:rPr>
        <w:t>for ETS operators</w:t>
      </w:r>
      <w:r w:rsidR="5D7C2B17" w:rsidRPr="00BB239D">
        <w:rPr>
          <w:rFonts w:ascii="Times New Roman" w:hAnsi="Times New Roman" w:cs="Times New Roman"/>
          <w:noProof/>
          <w:lang w:val="en-US"/>
        </w:rPr>
        <w:t xml:space="preserve"> are expected to increase as free allocation is </w:t>
      </w:r>
      <w:r w:rsidR="6E13F4DA" w:rsidRPr="00BB239D">
        <w:rPr>
          <w:rFonts w:ascii="Times New Roman" w:hAnsi="Times New Roman" w:cs="Times New Roman"/>
          <w:noProof/>
          <w:lang w:val="en-US"/>
        </w:rPr>
        <w:t>reduced</w:t>
      </w:r>
      <w:r w:rsidR="7FA43AAD" w:rsidRPr="00BB239D">
        <w:rPr>
          <w:rFonts w:ascii="Times New Roman" w:hAnsi="Times New Roman" w:cs="Times New Roman"/>
          <w:noProof/>
          <w:lang w:val="en-US"/>
        </w:rPr>
        <w:t>, notably for operators covered by the CBAM factor</w:t>
      </w:r>
      <w:r w:rsidR="5D7C2B17" w:rsidRPr="00BB239D">
        <w:rPr>
          <w:rFonts w:ascii="Times New Roman" w:hAnsi="Times New Roman" w:cs="Times New Roman"/>
          <w:noProof/>
          <w:lang w:val="en-US"/>
        </w:rPr>
        <w:t>.</w:t>
      </w:r>
      <w:r w:rsidR="4A27E7A3" w:rsidRPr="00BB239D">
        <w:rPr>
          <w:rFonts w:ascii="Times New Roman" w:hAnsi="Times New Roman" w:cs="Times New Roman"/>
          <w:noProof/>
          <w:lang w:val="en-US"/>
        </w:rPr>
        <w:t xml:space="preserve"> This </w:t>
      </w:r>
      <w:r w:rsidR="228F6205" w:rsidRPr="00BB239D">
        <w:rPr>
          <w:rFonts w:ascii="Times New Roman" w:hAnsi="Times New Roman" w:cs="Times New Roman"/>
          <w:noProof/>
          <w:lang w:val="en-US"/>
        </w:rPr>
        <w:t>increased price signal for decarboni</w:t>
      </w:r>
      <w:r w:rsidR="3A83D831" w:rsidRPr="00BB239D">
        <w:rPr>
          <w:rFonts w:ascii="Times New Roman" w:hAnsi="Times New Roman" w:cs="Times New Roman"/>
          <w:noProof/>
          <w:lang w:val="en-US"/>
        </w:rPr>
        <w:t>s</w:t>
      </w:r>
      <w:r w:rsidR="228F6205" w:rsidRPr="00BB239D">
        <w:rPr>
          <w:rFonts w:ascii="Times New Roman" w:hAnsi="Times New Roman" w:cs="Times New Roman"/>
          <w:noProof/>
          <w:lang w:val="en-US"/>
        </w:rPr>
        <w:t xml:space="preserve">ation </w:t>
      </w:r>
      <w:r w:rsidR="4A27E7A3" w:rsidRPr="00BB239D">
        <w:rPr>
          <w:rFonts w:ascii="Times New Roman" w:hAnsi="Times New Roman" w:cs="Times New Roman"/>
          <w:noProof/>
          <w:lang w:val="en-US"/>
        </w:rPr>
        <w:t xml:space="preserve">is expected to promote </w:t>
      </w:r>
      <w:r w:rsidR="78AE26EA" w:rsidRPr="00BB239D">
        <w:rPr>
          <w:rFonts w:ascii="Times New Roman" w:hAnsi="Times New Roman" w:cs="Times New Roman"/>
          <w:noProof/>
          <w:lang w:val="en-US"/>
        </w:rPr>
        <w:t xml:space="preserve">cost-effective </w:t>
      </w:r>
      <w:r w:rsidR="1DE1FA0D" w:rsidRPr="00BB239D">
        <w:rPr>
          <w:rFonts w:ascii="Times New Roman" w:hAnsi="Times New Roman" w:cs="Times New Roman"/>
          <w:noProof/>
          <w:lang w:val="en-US"/>
        </w:rPr>
        <w:t xml:space="preserve">GHG emission reductions. </w:t>
      </w:r>
      <w:r w:rsidR="1A659111" w:rsidRPr="00BB239D">
        <w:rPr>
          <w:rFonts w:ascii="Times New Roman" w:hAnsi="Times New Roman" w:cs="Times New Roman"/>
          <w:noProof/>
          <w:lang w:val="en-US"/>
        </w:rPr>
        <w:t>However,</w:t>
      </w:r>
      <w:r w:rsidR="07DC4B0D" w:rsidRPr="00BB239D">
        <w:rPr>
          <w:rFonts w:ascii="Times New Roman" w:hAnsi="Times New Roman" w:cs="Times New Roman"/>
          <w:noProof/>
          <w:lang w:val="en-US"/>
        </w:rPr>
        <w:t xml:space="preserve"> </w:t>
      </w:r>
      <w:r w:rsidR="729526F0" w:rsidRPr="00BB239D">
        <w:rPr>
          <w:rFonts w:ascii="Times New Roman" w:hAnsi="Times New Roman" w:cs="Times New Roman"/>
          <w:noProof/>
          <w:lang w:val="en-US"/>
        </w:rPr>
        <w:t xml:space="preserve">the production of some goods might </w:t>
      </w:r>
      <w:r w:rsidR="0051714B" w:rsidRPr="00BB239D">
        <w:rPr>
          <w:rFonts w:ascii="Times New Roman" w:hAnsi="Times New Roman" w:cs="Times New Roman"/>
          <w:noProof/>
          <w:lang w:val="en-US"/>
        </w:rPr>
        <w:t xml:space="preserve">bear </w:t>
      </w:r>
      <w:r w:rsidR="696D2A79" w:rsidRPr="00BB239D">
        <w:rPr>
          <w:rFonts w:ascii="Times New Roman" w:hAnsi="Times New Roman" w:cs="Times New Roman"/>
          <w:noProof/>
          <w:lang w:val="en-US"/>
        </w:rPr>
        <w:t>an increased</w:t>
      </w:r>
      <w:r w:rsidR="7DE3CC06" w:rsidRPr="00BB239D">
        <w:rPr>
          <w:rFonts w:ascii="Times New Roman" w:hAnsi="Times New Roman" w:cs="Times New Roman"/>
          <w:noProof/>
          <w:lang w:val="en-US"/>
        </w:rPr>
        <w:t xml:space="preserve"> </w:t>
      </w:r>
      <w:r w:rsidR="55DDA048" w:rsidRPr="00BB239D">
        <w:rPr>
          <w:rFonts w:ascii="Times New Roman" w:hAnsi="Times New Roman" w:cs="Times New Roman"/>
          <w:noProof/>
          <w:lang w:val="en-US"/>
        </w:rPr>
        <w:t xml:space="preserve">risk of </w:t>
      </w:r>
      <w:r w:rsidR="1521DC8D" w:rsidRPr="00BB239D">
        <w:rPr>
          <w:rFonts w:ascii="Times New Roman" w:hAnsi="Times New Roman" w:cs="Times New Roman"/>
          <w:noProof/>
        </w:rPr>
        <w:t>remaining</w:t>
      </w:r>
      <w:r w:rsidR="7DE3CC06" w:rsidRPr="00BB239D">
        <w:rPr>
          <w:rFonts w:ascii="Times New Roman" w:hAnsi="Times New Roman" w:cs="Times New Roman"/>
          <w:noProof/>
          <w:lang w:val="en-US"/>
        </w:rPr>
        <w:t xml:space="preserve"> carbon leakage</w:t>
      </w:r>
      <w:r w:rsidRPr="00BB239D" w:rsidDel="7DE3CC06">
        <w:rPr>
          <w:rFonts w:ascii="Times New Roman" w:hAnsi="Times New Roman" w:cs="Times New Roman"/>
          <w:noProof/>
          <w:lang w:val="en-US"/>
        </w:rPr>
        <w:t xml:space="preserve"> </w:t>
      </w:r>
      <w:r w:rsidR="7DE3CC06" w:rsidRPr="00BB239D">
        <w:rPr>
          <w:rFonts w:ascii="Times New Roman" w:hAnsi="Times New Roman" w:cs="Times New Roman"/>
          <w:noProof/>
          <w:lang w:val="en-US"/>
        </w:rPr>
        <w:t>which is not fully</w:t>
      </w:r>
      <w:r w:rsidR="6460C7D3" w:rsidRPr="00BB239D">
        <w:rPr>
          <w:rFonts w:ascii="Times New Roman" w:hAnsi="Times New Roman" w:cs="Times New Roman"/>
          <w:noProof/>
          <w:lang w:val="en-US"/>
        </w:rPr>
        <w:t xml:space="preserve"> </w:t>
      </w:r>
      <w:r w:rsidR="00F55C51">
        <w:rPr>
          <w:rFonts w:ascii="Times New Roman" w:hAnsi="Times New Roman" w:cs="Times New Roman"/>
          <w:noProof/>
          <w:lang w:val="en-US"/>
        </w:rPr>
        <w:t>addressed</w:t>
      </w:r>
      <w:r w:rsidR="00F55C51" w:rsidRPr="00BB239D">
        <w:rPr>
          <w:rFonts w:ascii="Times New Roman" w:hAnsi="Times New Roman" w:cs="Times New Roman"/>
          <w:noProof/>
          <w:lang w:val="en-US"/>
        </w:rPr>
        <w:t xml:space="preserve"> </w:t>
      </w:r>
      <w:r w:rsidR="00732F17" w:rsidRPr="00BB239D">
        <w:rPr>
          <w:rFonts w:ascii="Times New Roman" w:hAnsi="Times New Roman" w:cs="Times New Roman"/>
          <w:noProof/>
          <w:lang w:val="en-US"/>
        </w:rPr>
        <w:t>by the CBAM.</w:t>
      </w:r>
      <w:r w:rsidR="600E85F0" w:rsidRPr="00BB239D">
        <w:rPr>
          <w:rFonts w:ascii="Times New Roman" w:hAnsi="Times New Roman" w:cs="Times New Roman"/>
          <w:noProof/>
          <w:lang w:val="en-US"/>
        </w:rPr>
        <w:t xml:space="preserve"> </w:t>
      </w:r>
    </w:p>
    <w:p w14:paraId="07D951FB" w14:textId="200ABACB" w:rsidR="00EF7E0B" w:rsidRPr="00BB239D" w:rsidRDefault="62971AEA" w:rsidP="1435B257">
      <w:pPr>
        <w:jc w:val="both"/>
        <w:rPr>
          <w:rFonts w:ascii="Times New Roman" w:hAnsi="Times New Roman" w:cs="Times New Roman"/>
          <w:noProof/>
          <w:lang w:val="en-US"/>
        </w:rPr>
      </w:pPr>
      <w:r w:rsidRPr="59F485BF">
        <w:rPr>
          <w:rFonts w:ascii="Times New Roman" w:hAnsi="Times New Roman" w:cs="Times New Roman"/>
          <w:noProof/>
          <w:lang w:val="en-US"/>
        </w:rPr>
        <w:t xml:space="preserve">For the </w:t>
      </w:r>
      <w:r w:rsidR="5C9C853F" w:rsidRPr="59F485BF">
        <w:rPr>
          <w:rFonts w:ascii="Times New Roman" w:hAnsi="Times New Roman" w:cs="Times New Roman"/>
          <w:noProof/>
          <w:lang w:val="en-US"/>
        </w:rPr>
        <w:t>goods</w:t>
      </w:r>
      <w:r w:rsidR="5086616E" w:rsidRPr="59F485BF">
        <w:rPr>
          <w:rFonts w:ascii="Times New Roman" w:hAnsi="Times New Roman" w:cs="Times New Roman"/>
          <w:noProof/>
          <w:lang w:val="en-US"/>
        </w:rPr>
        <w:t xml:space="preserve"> produced to be </w:t>
      </w:r>
      <w:r w:rsidR="7C358361" w:rsidRPr="59F485BF">
        <w:rPr>
          <w:rFonts w:ascii="Times New Roman" w:hAnsi="Times New Roman" w:cs="Times New Roman"/>
          <w:noProof/>
          <w:lang w:val="en-US"/>
        </w:rPr>
        <w:t xml:space="preserve">sold on the </w:t>
      </w:r>
      <w:r w:rsidR="17D587C5" w:rsidRPr="59F485BF">
        <w:rPr>
          <w:rFonts w:ascii="Times New Roman" w:hAnsi="Times New Roman" w:cs="Times New Roman"/>
          <w:noProof/>
          <w:lang w:val="en-US"/>
        </w:rPr>
        <w:t xml:space="preserve">EU </w:t>
      </w:r>
      <w:r w:rsidR="748A0E7F" w:rsidRPr="59F485BF">
        <w:rPr>
          <w:rFonts w:ascii="Times New Roman" w:hAnsi="Times New Roman" w:cs="Times New Roman"/>
          <w:noProof/>
          <w:lang w:val="en-US"/>
        </w:rPr>
        <w:t>internal market,</w:t>
      </w:r>
      <w:r w:rsidR="023665DF" w:rsidRPr="59F485BF">
        <w:rPr>
          <w:rFonts w:ascii="Times New Roman" w:hAnsi="Times New Roman" w:cs="Times New Roman"/>
          <w:noProof/>
          <w:lang w:val="en-US"/>
        </w:rPr>
        <w:t xml:space="preserve"> </w:t>
      </w:r>
      <w:r w:rsidR="00EA7BD0" w:rsidRPr="59F485BF">
        <w:rPr>
          <w:rFonts w:ascii="Times New Roman" w:hAnsi="Times New Roman" w:cs="Times New Roman"/>
          <w:noProof/>
          <w:lang w:val="en-US"/>
        </w:rPr>
        <w:t xml:space="preserve">the risk of carbon leakage is addressed by the application of the CBAM which will ensure that products produced in third countries and imported to the EU internal market will pay an equivalent carbon price to that payable if the goods were produced in the EU. </w:t>
      </w:r>
      <w:r w:rsidR="00283843" w:rsidRPr="59F485BF">
        <w:rPr>
          <w:rFonts w:ascii="Times New Roman" w:hAnsi="Times New Roman" w:cs="Times New Roman"/>
          <w:noProof/>
          <w:lang w:val="en-US"/>
        </w:rPr>
        <w:t xml:space="preserve">It can be considered that this balances </w:t>
      </w:r>
      <w:r w:rsidR="7B6F41F5" w:rsidRPr="59F485BF">
        <w:rPr>
          <w:rFonts w:ascii="Times New Roman" w:hAnsi="Times New Roman" w:cs="Times New Roman"/>
          <w:noProof/>
          <w:lang w:val="en-US"/>
        </w:rPr>
        <w:t>the impacts of</w:t>
      </w:r>
      <w:r w:rsidR="45EF15F4" w:rsidRPr="59F485BF">
        <w:rPr>
          <w:rFonts w:ascii="Times New Roman" w:hAnsi="Times New Roman" w:cs="Times New Roman"/>
          <w:noProof/>
          <w:lang w:val="en-US"/>
        </w:rPr>
        <w:t xml:space="preserve"> th</w:t>
      </w:r>
      <w:r w:rsidR="13F86F8D" w:rsidRPr="59F485BF">
        <w:rPr>
          <w:rFonts w:ascii="Times New Roman" w:hAnsi="Times New Roman" w:cs="Times New Roman"/>
          <w:noProof/>
          <w:lang w:val="en-US"/>
        </w:rPr>
        <w:t>e phase</w:t>
      </w:r>
      <w:r w:rsidR="00E41983" w:rsidRPr="59F485BF">
        <w:rPr>
          <w:rFonts w:ascii="Times New Roman" w:hAnsi="Times New Roman" w:cs="Times New Roman"/>
          <w:noProof/>
          <w:lang w:val="en-US"/>
        </w:rPr>
        <w:t>-</w:t>
      </w:r>
      <w:r w:rsidR="13F86F8D" w:rsidRPr="59F485BF">
        <w:rPr>
          <w:rFonts w:ascii="Times New Roman" w:hAnsi="Times New Roman" w:cs="Times New Roman"/>
          <w:noProof/>
          <w:lang w:val="en-US"/>
        </w:rPr>
        <w:t>out of</w:t>
      </w:r>
      <w:r w:rsidR="45EF15F4" w:rsidRPr="59F485BF">
        <w:rPr>
          <w:rFonts w:ascii="Times New Roman" w:hAnsi="Times New Roman" w:cs="Times New Roman"/>
          <w:noProof/>
          <w:lang w:val="en-US"/>
        </w:rPr>
        <w:t xml:space="preserve"> free allocatio</w:t>
      </w:r>
      <w:r w:rsidR="3FA0C999" w:rsidRPr="59F485BF">
        <w:rPr>
          <w:rFonts w:ascii="Times New Roman" w:hAnsi="Times New Roman" w:cs="Times New Roman"/>
          <w:noProof/>
          <w:lang w:val="en-US"/>
        </w:rPr>
        <w:t>n</w:t>
      </w:r>
      <w:r w:rsidR="00283843" w:rsidRPr="59F485BF">
        <w:rPr>
          <w:rFonts w:ascii="Times New Roman" w:hAnsi="Times New Roman" w:cs="Times New Roman"/>
          <w:noProof/>
          <w:lang w:val="en-US"/>
        </w:rPr>
        <w:t>.</w:t>
      </w:r>
      <w:r w:rsidR="17D587C5" w:rsidRPr="59F485BF">
        <w:rPr>
          <w:rFonts w:ascii="Times New Roman" w:hAnsi="Times New Roman" w:cs="Times New Roman"/>
          <w:noProof/>
          <w:lang w:val="en-US"/>
        </w:rPr>
        <w:t xml:space="preserve"> </w:t>
      </w:r>
      <w:r>
        <w:rPr>
          <w:rFonts w:ascii="Times New Roman" w:hAnsi="Times New Roman" w:cs="Times New Roman"/>
          <w:noProof/>
          <w:lang w:val="en-US"/>
        </w:rPr>
        <w:t>However,</w:t>
      </w:r>
      <w:r w:rsidR="00147F6C" w:rsidRPr="59F485BF">
        <w:rPr>
          <w:rFonts w:ascii="Times New Roman" w:hAnsi="Times New Roman" w:cs="Times New Roman"/>
          <w:noProof/>
          <w:lang w:val="en-US"/>
        </w:rPr>
        <w:t xml:space="preserve"> </w:t>
      </w:r>
      <w:r w:rsidR="0075654A" w:rsidRPr="59F485BF">
        <w:rPr>
          <w:rFonts w:ascii="Times New Roman" w:hAnsi="Times New Roman" w:cs="Times New Roman"/>
          <w:noProof/>
          <w:lang w:val="en-US"/>
        </w:rPr>
        <w:t>t</w:t>
      </w:r>
      <w:r w:rsidR="2DDFAA09" w:rsidRPr="59F485BF">
        <w:rPr>
          <w:rFonts w:ascii="Times New Roman" w:hAnsi="Times New Roman" w:cs="Times New Roman"/>
          <w:noProof/>
          <w:lang w:val="en-US"/>
        </w:rPr>
        <w:t>he</w:t>
      </w:r>
      <w:r w:rsidR="002B3CED" w:rsidRPr="59F485BF">
        <w:rPr>
          <w:rFonts w:ascii="Times New Roman" w:hAnsi="Times New Roman" w:cs="Times New Roman"/>
          <w:noProof/>
          <w:lang w:val="en-US"/>
        </w:rPr>
        <w:t xml:space="preserve"> production</w:t>
      </w:r>
      <w:r w:rsidR="292F7902" w:rsidRPr="59F485BF">
        <w:rPr>
          <w:rFonts w:ascii="Times New Roman" w:hAnsi="Times New Roman" w:cs="Times New Roman"/>
          <w:noProof/>
          <w:lang w:val="en-US"/>
        </w:rPr>
        <w:t xml:space="preserve"> of </w:t>
      </w:r>
      <w:r>
        <w:rPr>
          <w:rFonts w:ascii="Times New Roman" w:hAnsi="Times New Roman" w:cs="Times New Roman"/>
          <w:noProof/>
          <w:lang w:val="en-US"/>
        </w:rPr>
        <w:t>some</w:t>
      </w:r>
      <w:r w:rsidR="00A40CEF" w:rsidRPr="59F485BF">
        <w:rPr>
          <w:rFonts w:ascii="Times New Roman" w:hAnsi="Times New Roman" w:cs="Times New Roman"/>
          <w:noProof/>
          <w:lang w:val="en-US"/>
        </w:rPr>
        <w:t xml:space="preserve"> </w:t>
      </w:r>
      <w:r w:rsidR="292F7902" w:rsidRPr="59F485BF">
        <w:rPr>
          <w:rFonts w:ascii="Times New Roman" w:hAnsi="Times New Roman" w:cs="Times New Roman"/>
          <w:noProof/>
          <w:lang w:val="en-US"/>
        </w:rPr>
        <w:t>goods</w:t>
      </w:r>
      <w:r w:rsidR="66E6348C" w:rsidRPr="59F485BF">
        <w:rPr>
          <w:rFonts w:ascii="Times New Roman" w:hAnsi="Times New Roman" w:cs="Times New Roman"/>
          <w:noProof/>
          <w:lang w:val="en-US"/>
        </w:rPr>
        <w:t xml:space="preserve"> can </w:t>
      </w:r>
      <w:r>
        <w:rPr>
          <w:rFonts w:ascii="Times New Roman" w:hAnsi="Times New Roman" w:cs="Times New Roman"/>
          <w:noProof/>
          <w:lang w:val="en-US"/>
        </w:rPr>
        <w:t xml:space="preserve">still </w:t>
      </w:r>
      <w:r w:rsidR="66E6348C" w:rsidRPr="59F485BF">
        <w:rPr>
          <w:rFonts w:ascii="Times New Roman" w:hAnsi="Times New Roman" w:cs="Times New Roman"/>
          <w:noProof/>
          <w:lang w:val="en-US"/>
        </w:rPr>
        <w:t xml:space="preserve">be considered to </w:t>
      </w:r>
      <w:r w:rsidR="00620081" w:rsidRPr="59F485BF">
        <w:rPr>
          <w:rFonts w:ascii="Times New Roman" w:hAnsi="Times New Roman" w:cs="Times New Roman"/>
          <w:noProof/>
          <w:lang w:val="en-US"/>
        </w:rPr>
        <w:t>be exp</w:t>
      </w:r>
      <w:r w:rsidR="00F6631A" w:rsidRPr="59F485BF">
        <w:rPr>
          <w:rFonts w:ascii="Times New Roman" w:hAnsi="Times New Roman" w:cs="Times New Roman"/>
          <w:noProof/>
          <w:lang w:val="en-US"/>
        </w:rPr>
        <w:t xml:space="preserve">osed to a </w:t>
      </w:r>
      <w:r w:rsidR="24963296" w:rsidRPr="59F485BF">
        <w:rPr>
          <w:rFonts w:ascii="Times New Roman" w:hAnsi="Times New Roman" w:cs="Times New Roman"/>
          <w:noProof/>
        </w:rPr>
        <w:t>remaining</w:t>
      </w:r>
      <w:r w:rsidR="00E57CC9">
        <w:rPr>
          <w:rFonts w:ascii="Times New Roman" w:hAnsi="Times New Roman" w:cs="Times New Roman"/>
          <w:noProof/>
          <w:lang w:val="en-US"/>
        </w:rPr>
        <w:t xml:space="preserve"> </w:t>
      </w:r>
      <w:r w:rsidR="66E6348C" w:rsidRPr="59F485BF">
        <w:rPr>
          <w:rFonts w:ascii="Times New Roman" w:hAnsi="Times New Roman" w:cs="Times New Roman"/>
          <w:noProof/>
          <w:lang w:val="en-US"/>
        </w:rPr>
        <w:t>carbon leakage risk</w:t>
      </w:r>
      <w:r>
        <w:rPr>
          <w:rFonts w:ascii="Times New Roman" w:hAnsi="Times New Roman" w:cs="Times New Roman"/>
          <w:noProof/>
          <w:lang w:val="en-US"/>
        </w:rPr>
        <w:t xml:space="preserve"> where no equivalent carbon pricing is in place. The reduced Union-wide emissions cap, combined with the gradual phase-out of free allocation provided for in the ETS Directive, requires cost-intensive and rapid adaptations by the industries covered by Directive 2003/87/EC, thereby increasing the short-term risk of carbon leakage</w:t>
      </w:r>
      <w:r w:rsidR="00154D98">
        <w:rPr>
          <w:rFonts w:ascii="Times New Roman" w:hAnsi="Times New Roman" w:cs="Times New Roman"/>
          <w:noProof/>
          <w:lang w:val="en-US"/>
        </w:rPr>
        <w:t xml:space="preserve">. </w:t>
      </w:r>
      <w:r w:rsidR="0B666188" w:rsidRPr="59F485BF">
        <w:rPr>
          <w:rFonts w:ascii="Times New Roman" w:hAnsi="Times New Roman" w:cs="Times New Roman"/>
          <w:noProof/>
          <w:lang w:val="en-US"/>
        </w:rPr>
        <w:t xml:space="preserve">Operators of </w:t>
      </w:r>
      <w:r w:rsidR="5F21528F" w:rsidRPr="59F485BF">
        <w:rPr>
          <w:rFonts w:ascii="Times New Roman" w:hAnsi="Times New Roman" w:cs="Times New Roman"/>
          <w:noProof/>
          <w:lang w:val="en-US"/>
        </w:rPr>
        <w:t>EU ETS installations</w:t>
      </w:r>
      <w:r w:rsidR="00A03684" w:rsidRPr="59F485BF">
        <w:rPr>
          <w:rFonts w:ascii="Times New Roman" w:hAnsi="Times New Roman" w:cs="Times New Roman"/>
          <w:noProof/>
          <w:lang w:val="en-US"/>
        </w:rPr>
        <w:t xml:space="preserve"> </w:t>
      </w:r>
      <w:r w:rsidR="00AD46CE" w:rsidRPr="59F485BF">
        <w:rPr>
          <w:rFonts w:ascii="Times New Roman" w:hAnsi="Times New Roman" w:cs="Times New Roman"/>
          <w:noProof/>
          <w:lang w:val="en-US"/>
        </w:rPr>
        <w:t>producing such goods</w:t>
      </w:r>
      <w:r w:rsidR="44583B63" w:rsidRPr="59F485BF">
        <w:rPr>
          <w:rFonts w:ascii="Times New Roman" w:hAnsi="Times New Roman" w:cs="Times New Roman"/>
          <w:noProof/>
          <w:lang w:val="en-US"/>
        </w:rPr>
        <w:t xml:space="preserve"> are expected </w:t>
      </w:r>
      <w:r w:rsidR="3A685D3D" w:rsidRPr="59F485BF">
        <w:rPr>
          <w:rFonts w:ascii="Times New Roman" w:hAnsi="Times New Roman" w:cs="Times New Roman"/>
          <w:noProof/>
          <w:lang w:val="en-US"/>
        </w:rPr>
        <w:t xml:space="preserve">to </w:t>
      </w:r>
      <w:r w:rsidR="32F0147C" w:rsidRPr="59F485BF">
        <w:rPr>
          <w:rFonts w:ascii="Times New Roman" w:hAnsi="Times New Roman" w:cs="Times New Roman"/>
          <w:noProof/>
          <w:lang w:val="en-US"/>
        </w:rPr>
        <w:t>need</w:t>
      </w:r>
      <w:r w:rsidR="460A26B6" w:rsidRPr="59F485BF">
        <w:rPr>
          <w:rFonts w:ascii="Times New Roman" w:hAnsi="Times New Roman" w:cs="Times New Roman"/>
          <w:noProof/>
          <w:lang w:val="en-US"/>
        </w:rPr>
        <w:t xml:space="preserve"> </w:t>
      </w:r>
      <w:r w:rsidR="1EAF6C76" w:rsidRPr="59F485BF">
        <w:rPr>
          <w:rFonts w:ascii="Times New Roman" w:hAnsi="Times New Roman" w:cs="Times New Roman"/>
          <w:noProof/>
          <w:lang w:val="en-US"/>
        </w:rPr>
        <w:t>temporary fin</w:t>
      </w:r>
      <w:r w:rsidR="2CC671B8" w:rsidRPr="59F485BF">
        <w:rPr>
          <w:rFonts w:ascii="Times New Roman" w:hAnsi="Times New Roman" w:cs="Times New Roman"/>
          <w:noProof/>
          <w:lang w:val="en-US"/>
        </w:rPr>
        <w:t xml:space="preserve">ancial support to accelerate </w:t>
      </w:r>
      <w:r w:rsidR="3A2EFBF0" w:rsidRPr="59F485BF">
        <w:rPr>
          <w:rFonts w:ascii="Times New Roman" w:hAnsi="Times New Roman" w:cs="Times New Roman"/>
          <w:noProof/>
          <w:lang w:val="en-US"/>
        </w:rPr>
        <w:t>investments into</w:t>
      </w:r>
      <w:r w:rsidR="23733AC8" w:rsidRPr="59F485BF">
        <w:rPr>
          <w:rFonts w:ascii="Times New Roman" w:hAnsi="Times New Roman" w:cs="Times New Roman"/>
          <w:noProof/>
          <w:lang w:val="en-US"/>
        </w:rPr>
        <w:t xml:space="preserve"> decarbonisation measures</w:t>
      </w:r>
      <w:r w:rsidR="5B9C97D3" w:rsidRPr="59F485BF">
        <w:rPr>
          <w:rFonts w:ascii="Times New Roman" w:hAnsi="Times New Roman" w:cs="Times New Roman"/>
          <w:noProof/>
          <w:lang w:val="en-US"/>
        </w:rPr>
        <w:t xml:space="preserve"> in order to ensure the effectiveness of the Union’s climate policy and in order to fully address this </w:t>
      </w:r>
      <w:r w:rsidR="2C830AF0" w:rsidRPr="59F485BF">
        <w:rPr>
          <w:rFonts w:ascii="Times New Roman" w:hAnsi="Times New Roman" w:cs="Times New Roman"/>
          <w:noProof/>
        </w:rPr>
        <w:t>remaining</w:t>
      </w:r>
      <w:r w:rsidR="5B9C97D3" w:rsidRPr="59F485BF">
        <w:rPr>
          <w:rFonts w:ascii="Times New Roman" w:hAnsi="Times New Roman" w:cs="Times New Roman"/>
          <w:noProof/>
          <w:lang w:val="en-US"/>
        </w:rPr>
        <w:t xml:space="preserve"> risk of carbon leakage. </w:t>
      </w:r>
    </w:p>
    <w:p w14:paraId="5977F4E6" w14:textId="1ED53980" w:rsidR="008A3D5D" w:rsidRPr="001C1632" w:rsidRDefault="5D8913FC" w:rsidP="0042793A">
      <w:pPr>
        <w:pStyle w:val="Heading2"/>
        <w:numPr>
          <w:ilvl w:val="0"/>
          <w:numId w:val="2"/>
        </w:numPr>
        <w:spacing w:after="240" w:line="240" w:lineRule="auto"/>
        <w:ind w:left="357" w:hanging="357"/>
        <w:jc w:val="both"/>
        <w:rPr>
          <w:rFonts w:ascii="Times New Roman" w:eastAsia="Times New Roman" w:hAnsi="Times New Roman" w:cs="Times New Roman"/>
          <w:noProof/>
          <w:lang w:val="en-IE"/>
        </w:rPr>
      </w:pPr>
      <w:bookmarkStart w:id="13" w:name="_Toc224218957"/>
      <w:bookmarkStart w:id="14" w:name="_Toc214972102"/>
      <w:r w:rsidRPr="001C1632">
        <w:rPr>
          <w:rFonts w:ascii="Times New Roman" w:eastAsia="Times New Roman" w:hAnsi="Times New Roman" w:cs="Times New Roman"/>
          <w:noProof/>
          <w:lang w:val="en-IE"/>
        </w:rPr>
        <w:t>Determination of eligibility</w:t>
      </w:r>
      <w:bookmarkEnd w:id="13"/>
      <w:bookmarkEnd w:id="14"/>
    </w:p>
    <w:p w14:paraId="1E37FE5E" w14:textId="2D597918" w:rsidR="008A3D5D" w:rsidRPr="001C1632" w:rsidRDefault="5D9CC147" w:rsidP="625AE351">
      <w:pPr>
        <w:pStyle w:val="Heading2"/>
        <w:numPr>
          <w:ilvl w:val="1"/>
          <w:numId w:val="2"/>
        </w:numPr>
        <w:spacing w:after="240" w:line="240" w:lineRule="auto"/>
        <w:ind w:hanging="360"/>
        <w:jc w:val="both"/>
        <w:rPr>
          <w:rFonts w:ascii="Times New Roman" w:eastAsia="Times New Roman" w:hAnsi="Times New Roman" w:cs="Times New Roman"/>
          <w:bCs/>
          <w:noProof/>
          <w:lang w:val="en-IE"/>
        </w:rPr>
      </w:pPr>
      <w:bookmarkStart w:id="15" w:name="_Toc224218958"/>
      <w:bookmarkStart w:id="16" w:name="_Toc214972103"/>
      <w:r w:rsidRPr="001C1632">
        <w:rPr>
          <w:rFonts w:ascii="Times New Roman" w:eastAsia="Times New Roman" w:hAnsi="Times New Roman" w:cs="Times New Roman"/>
          <w:noProof/>
          <w:lang w:val="en-IE"/>
        </w:rPr>
        <w:t xml:space="preserve">Derivation of indicators </w:t>
      </w:r>
      <w:r w:rsidR="00345323" w:rsidRPr="001C1632">
        <w:rPr>
          <w:rFonts w:ascii="Times New Roman" w:eastAsia="Times New Roman" w:hAnsi="Times New Roman" w:cs="Times New Roman"/>
          <w:bCs/>
          <w:noProof/>
          <w:lang w:val="en-IE"/>
        </w:rPr>
        <w:t xml:space="preserve">to determine </w:t>
      </w:r>
      <w:r w:rsidR="2CBC3064" w:rsidRPr="001C1632">
        <w:rPr>
          <w:rFonts w:ascii="Times New Roman" w:eastAsia="Times New Roman" w:hAnsi="Times New Roman" w:cs="Times New Roman"/>
          <w:noProof/>
          <w:lang w:val="en-IE"/>
        </w:rPr>
        <w:t>remaining</w:t>
      </w:r>
      <w:r w:rsidRPr="001C1632">
        <w:rPr>
          <w:rFonts w:ascii="Times New Roman" w:eastAsia="Times New Roman" w:hAnsi="Times New Roman" w:cs="Times New Roman"/>
          <w:noProof/>
          <w:lang w:val="en-IE"/>
        </w:rPr>
        <w:t xml:space="preserve"> carbon leakage risks</w:t>
      </w:r>
      <w:bookmarkEnd w:id="15"/>
      <w:bookmarkEnd w:id="16"/>
    </w:p>
    <w:p w14:paraId="701FCA43" w14:textId="5EE8C020" w:rsidR="008A3D5D" w:rsidRPr="001C1632" w:rsidRDefault="0D9CFB33" w:rsidP="007B2E2A">
      <w:pPr>
        <w:pStyle w:val="Heading2"/>
        <w:numPr>
          <w:ilvl w:val="2"/>
          <w:numId w:val="2"/>
        </w:numPr>
        <w:spacing w:after="240" w:line="240" w:lineRule="auto"/>
        <w:jc w:val="both"/>
        <w:rPr>
          <w:rFonts w:ascii="Times New Roman" w:eastAsia="Times New Roman" w:hAnsi="Times New Roman" w:cs="Times New Roman"/>
          <w:noProof/>
          <w:lang w:val="en-IE"/>
        </w:rPr>
      </w:pPr>
      <w:bookmarkStart w:id="17" w:name="_Toc224218959"/>
      <w:bookmarkStart w:id="18" w:name="_Toc214972104"/>
      <w:r w:rsidRPr="001C1632">
        <w:rPr>
          <w:rFonts w:ascii="Times New Roman" w:eastAsia="Times New Roman" w:hAnsi="Times New Roman" w:cs="Times New Roman"/>
          <w:noProof/>
          <w:lang w:val="en-IE"/>
        </w:rPr>
        <w:t>Background: Approach to de</w:t>
      </w:r>
      <w:r w:rsidR="29797FBF" w:rsidRPr="001C1632">
        <w:rPr>
          <w:rFonts w:ascii="Times New Roman" w:eastAsia="Times New Roman" w:hAnsi="Times New Roman" w:cs="Times New Roman"/>
          <w:noProof/>
          <w:lang w:val="en-IE"/>
        </w:rPr>
        <w:t>te</w:t>
      </w:r>
      <w:r w:rsidRPr="001C1632">
        <w:rPr>
          <w:rFonts w:ascii="Times New Roman" w:eastAsia="Times New Roman" w:hAnsi="Times New Roman" w:cs="Times New Roman"/>
          <w:noProof/>
          <w:lang w:val="en-IE"/>
        </w:rPr>
        <w:t>rmine the carbon leakage list in phase III and phase IV of the EU ETS</w:t>
      </w:r>
      <w:bookmarkEnd w:id="17"/>
      <w:bookmarkEnd w:id="18"/>
    </w:p>
    <w:p w14:paraId="62CFCFFB" w14:textId="09140243" w:rsidR="00357EE3" w:rsidRPr="00BB239D" w:rsidRDefault="00357EE3" w:rsidP="00357EE3">
      <w:pPr>
        <w:jc w:val="both"/>
        <w:rPr>
          <w:rFonts w:ascii="Times New Roman" w:eastAsia="Times New Roman" w:hAnsi="Times New Roman" w:cs="Times New Roman"/>
          <w:noProof/>
          <w:color w:val="000000" w:themeColor="text1"/>
          <w:lang w:val="en-IE"/>
        </w:rPr>
      </w:pPr>
      <w:r w:rsidRPr="00BB239D">
        <w:rPr>
          <w:rFonts w:ascii="Times New Roman" w:eastAsia="Times New Roman" w:hAnsi="Times New Roman" w:cs="Times New Roman"/>
          <w:noProof/>
          <w:color w:val="000000" w:themeColor="text1"/>
          <w:lang w:val="en-IE"/>
        </w:rPr>
        <w:t>In phase III</w:t>
      </w:r>
      <w:r w:rsidR="0FC90233" w:rsidRPr="00BB239D">
        <w:rPr>
          <w:rFonts w:ascii="Times New Roman" w:eastAsia="Times New Roman" w:hAnsi="Times New Roman" w:cs="Times New Roman"/>
          <w:noProof/>
          <w:color w:val="000000" w:themeColor="text1"/>
          <w:lang w:val="en-IE"/>
        </w:rPr>
        <w:t xml:space="preserve"> of the EU ETS</w:t>
      </w:r>
      <w:r w:rsidRPr="00BB239D">
        <w:rPr>
          <w:rFonts w:ascii="Times New Roman" w:eastAsia="Times New Roman" w:hAnsi="Times New Roman" w:cs="Times New Roman"/>
          <w:noProof/>
          <w:color w:val="000000" w:themeColor="text1"/>
          <w:lang w:val="en-IE"/>
        </w:rPr>
        <w:t>, a sector or sub-sector was considered to be at significant risk of carbon leakage if:</w:t>
      </w:r>
    </w:p>
    <w:p w14:paraId="596AB603" w14:textId="77777777" w:rsidR="00357EE3" w:rsidRPr="00BB239D" w:rsidRDefault="00357EE3" w:rsidP="0042793A">
      <w:pPr>
        <w:pStyle w:val="ListParagraph"/>
        <w:numPr>
          <w:ilvl w:val="0"/>
          <w:numId w:val="5"/>
        </w:numPr>
        <w:spacing w:line="278" w:lineRule="auto"/>
        <w:jc w:val="both"/>
        <w:rPr>
          <w:rFonts w:ascii="Times New Roman" w:eastAsia="Times New Roman" w:hAnsi="Times New Roman" w:cs="Times New Roman"/>
          <w:noProof/>
          <w:color w:val="000000" w:themeColor="text1"/>
          <w:lang w:val="en-IE"/>
        </w:rPr>
      </w:pPr>
      <w:r w:rsidRPr="00BB239D">
        <w:rPr>
          <w:rFonts w:ascii="Times New Roman" w:eastAsia="Times New Roman" w:hAnsi="Times New Roman" w:cs="Times New Roman"/>
          <w:noProof/>
          <w:color w:val="000000" w:themeColor="text1"/>
          <w:lang w:val="en-IE"/>
        </w:rPr>
        <w:t>direct and indirect costs induced by the implementation of the directive would increase production cost, calculated as a proportion of the gross value added, by at least 5%; </w:t>
      </w:r>
      <w:r w:rsidRPr="00BB239D">
        <w:rPr>
          <w:rFonts w:ascii="Times New Roman" w:eastAsia="Times New Roman" w:hAnsi="Times New Roman" w:cs="Times New Roman"/>
          <w:b/>
          <w:bCs/>
          <w:noProof/>
          <w:color w:val="000000" w:themeColor="text1"/>
          <w:lang w:val="en-IE"/>
        </w:rPr>
        <w:t>and</w:t>
      </w:r>
    </w:p>
    <w:p w14:paraId="6DD56528" w14:textId="56ACCEAB" w:rsidR="00357EE3" w:rsidRPr="00BB239D" w:rsidRDefault="00357EE3" w:rsidP="0042793A">
      <w:pPr>
        <w:pStyle w:val="ListParagraph"/>
        <w:numPr>
          <w:ilvl w:val="0"/>
          <w:numId w:val="5"/>
        </w:numPr>
        <w:spacing w:line="278" w:lineRule="auto"/>
        <w:jc w:val="both"/>
        <w:rPr>
          <w:rFonts w:ascii="Times New Roman" w:eastAsia="Times New Roman" w:hAnsi="Times New Roman" w:cs="Times New Roman"/>
          <w:noProof/>
          <w:color w:val="000000" w:themeColor="text1"/>
          <w:lang w:val="en-IE"/>
        </w:rPr>
      </w:pPr>
      <w:r w:rsidRPr="00BB239D">
        <w:rPr>
          <w:rFonts w:ascii="Times New Roman" w:eastAsia="Times New Roman" w:hAnsi="Times New Roman" w:cs="Times New Roman"/>
          <w:noProof/>
          <w:color w:val="000000" w:themeColor="text1"/>
          <w:lang w:val="en-IE"/>
        </w:rPr>
        <w:t>the sector's trade intensity with non-EU countries is above 10%.</w:t>
      </w:r>
    </w:p>
    <w:p w14:paraId="2E96A818" w14:textId="77777777" w:rsidR="00357EE3" w:rsidRPr="00BB239D" w:rsidRDefault="00357EE3" w:rsidP="00357EE3">
      <w:pPr>
        <w:jc w:val="both"/>
        <w:rPr>
          <w:rFonts w:ascii="Times New Roman" w:eastAsia="Times New Roman" w:hAnsi="Times New Roman" w:cs="Times New Roman"/>
          <w:noProof/>
          <w:color w:val="000000" w:themeColor="text1"/>
          <w:lang w:val="en-IE"/>
        </w:rPr>
      </w:pPr>
      <w:r w:rsidRPr="00BB239D">
        <w:rPr>
          <w:rFonts w:ascii="Times New Roman" w:eastAsia="Times New Roman" w:hAnsi="Times New Roman" w:cs="Times New Roman"/>
          <w:noProof/>
          <w:color w:val="000000" w:themeColor="text1"/>
          <w:lang w:val="en-IE"/>
        </w:rPr>
        <w:t>A sector or sub-sector was also deemed to be exposed if:</w:t>
      </w:r>
    </w:p>
    <w:p w14:paraId="64BB5E3C" w14:textId="77777777" w:rsidR="00357EE3" w:rsidRPr="00BB239D" w:rsidRDefault="00357EE3" w:rsidP="0042793A">
      <w:pPr>
        <w:pStyle w:val="ListParagraph"/>
        <w:numPr>
          <w:ilvl w:val="0"/>
          <w:numId w:val="4"/>
        </w:numPr>
        <w:spacing w:line="278" w:lineRule="auto"/>
        <w:jc w:val="both"/>
        <w:rPr>
          <w:rFonts w:ascii="Times New Roman" w:eastAsia="Times New Roman" w:hAnsi="Times New Roman" w:cs="Times New Roman"/>
          <w:noProof/>
          <w:color w:val="000000" w:themeColor="text1"/>
          <w:lang w:val="en-IE"/>
        </w:rPr>
      </w:pPr>
      <w:r w:rsidRPr="00BB239D">
        <w:rPr>
          <w:rFonts w:ascii="Times New Roman" w:eastAsia="Times New Roman" w:hAnsi="Times New Roman" w:cs="Times New Roman"/>
          <w:noProof/>
          <w:color w:val="000000" w:themeColor="text1"/>
          <w:lang w:val="en-IE"/>
        </w:rPr>
        <w:t>the sum of direct and indirect additional costs was at least 30%; </w:t>
      </w:r>
      <w:r w:rsidRPr="00BB239D">
        <w:rPr>
          <w:rFonts w:ascii="Times New Roman" w:eastAsia="Times New Roman" w:hAnsi="Times New Roman" w:cs="Times New Roman"/>
          <w:b/>
          <w:bCs/>
          <w:noProof/>
          <w:color w:val="000000" w:themeColor="text1"/>
          <w:lang w:val="en-IE"/>
        </w:rPr>
        <w:t>or</w:t>
      </w:r>
    </w:p>
    <w:p w14:paraId="031B0283" w14:textId="77777777" w:rsidR="00357EE3" w:rsidRPr="00BB239D" w:rsidRDefault="00357EE3" w:rsidP="0042793A">
      <w:pPr>
        <w:pStyle w:val="ListParagraph"/>
        <w:numPr>
          <w:ilvl w:val="0"/>
          <w:numId w:val="4"/>
        </w:numPr>
        <w:spacing w:line="278" w:lineRule="auto"/>
        <w:jc w:val="both"/>
        <w:rPr>
          <w:rFonts w:ascii="Times New Roman" w:eastAsia="Times New Roman" w:hAnsi="Times New Roman" w:cs="Times New Roman"/>
          <w:noProof/>
          <w:color w:val="000000" w:themeColor="text1"/>
          <w:lang w:val="en-IE"/>
        </w:rPr>
      </w:pPr>
      <w:r w:rsidRPr="00BB239D">
        <w:rPr>
          <w:rFonts w:ascii="Times New Roman" w:eastAsia="Times New Roman" w:hAnsi="Times New Roman" w:cs="Times New Roman"/>
          <w:noProof/>
          <w:color w:val="000000" w:themeColor="text1"/>
          <w:lang w:val="en-IE"/>
        </w:rPr>
        <w:t>the non-EU trade intensity was above 30%.</w:t>
      </w:r>
    </w:p>
    <w:p w14:paraId="3E3BFF7B" w14:textId="3E81568E" w:rsidR="00357EE3" w:rsidRPr="00BB239D" w:rsidRDefault="00357EE3" w:rsidP="00357EE3">
      <w:pPr>
        <w:jc w:val="both"/>
        <w:rPr>
          <w:rFonts w:ascii="Times New Roman" w:eastAsia="Times New Roman" w:hAnsi="Times New Roman" w:cs="Times New Roman"/>
          <w:noProof/>
          <w:color w:val="000000" w:themeColor="text1"/>
          <w:lang w:val="en-IE"/>
        </w:rPr>
      </w:pPr>
      <w:r w:rsidRPr="00BB239D">
        <w:rPr>
          <w:rFonts w:ascii="Times New Roman" w:eastAsia="Times New Roman" w:hAnsi="Times New Roman" w:cs="Times New Roman"/>
          <w:noProof/>
          <w:color w:val="000000" w:themeColor="text1"/>
          <w:lang w:val="en-IE"/>
        </w:rPr>
        <w:t xml:space="preserve">As </w:t>
      </w:r>
      <w:r w:rsidR="009E31DA" w:rsidRPr="00BB239D">
        <w:rPr>
          <w:rFonts w:ascii="Times New Roman" w:eastAsia="Times New Roman" w:hAnsi="Times New Roman" w:cs="Times New Roman"/>
          <w:noProof/>
          <w:color w:val="000000" w:themeColor="text1"/>
          <w:lang w:val="en-IE"/>
        </w:rPr>
        <w:t xml:space="preserve">a </w:t>
      </w:r>
      <w:r w:rsidRPr="00BB239D">
        <w:rPr>
          <w:rFonts w:ascii="Times New Roman" w:eastAsia="Times New Roman" w:hAnsi="Times New Roman" w:cs="Times New Roman"/>
          <w:noProof/>
          <w:color w:val="000000" w:themeColor="text1"/>
          <w:lang w:val="en-IE"/>
        </w:rPr>
        <w:t>result, more than 250 sectors (at NACE 4 level), almost all industry sectors covered by the EU</w:t>
      </w:r>
      <w:r>
        <w:rPr>
          <w:rFonts w:ascii="Times New Roman" w:eastAsia="Times New Roman" w:hAnsi="Times New Roman" w:cs="Times New Roman"/>
          <w:noProof/>
          <w:color w:val="000000" w:themeColor="text1"/>
          <w:lang w:val="en-IE"/>
        </w:rPr>
        <w:t xml:space="preserve"> </w:t>
      </w:r>
      <w:r w:rsidRPr="00BB239D">
        <w:rPr>
          <w:rFonts w:ascii="Times New Roman" w:eastAsia="Times New Roman" w:hAnsi="Times New Roman" w:cs="Times New Roman"/>
          <w:noProof/>
          <w:color w:val="000000" w:themeColor="text1"/>
          <w:lang w:val="en-IE"/>
        </w:rPr>
        <w:t>ETS, qualified for the carbon leakage list.</w:t>
      </w:r>
    </w:p>
    <w:p w14:paraId="1EC4EBC1" w14:textId="77777777" w:rsidR="00357EE3" w:rsidRPr="00BB239D" w:rsidRDefault="13B19130" w:rsidP="00357EE3">
      <w:pPr>
        <w:jc w:val="both"/>
        <w:rPr>
          <w:rFonts w:ascii="Times New Roman" w:eastAsia="Times New Roman" w:hAnsi="Times New Roman" w:cs="Times New Roman"/>
          <w:noProof/>
          <w:color w:val="000000" w:themeColor="text1"/>
          <w:lang w:val="en-IE"/>
        </w:rPr>
      </w:pPr>
      <w:r w:rsidRPr="00BB239D">
        <w:rPr>
          <w:rFonts w:ascii="Times New Roman" w:eastAsia="Times New Roman" w:hAnsi="Times New Roman" w:cs="Times New Roman"/>
          <w:noProof/>
          <w:color w:val="000000" w:themeColor="text1"/>
          <w:lang w:val="en-IE"/>
        </w:rPr>
        <w:t>In phase IV, the two separate indicators are replaced by a combined indicator. A sector or sub-sector is deemed to be at risk of carbon leakage if the product of trade intensity and emission intensity exceeds 0.2:</w:t>
      </w:r>
    </w:p>
    <w:p w14:paraId="0394FBF8" w14:textId="76ACC200" w:rsidR="00357EE3" w:rsidRPr="00BB239D" w:rsidRDefault="00357EE3" w:rsidP="00357EE3">
      <w:pPr>
        <w:jc w:val="both"/>
        <w:rPr>
          <w:rFonts w:ascii="Times New Roman" w:eastAsia="Times New Roman" w:hAnsi="Times New Roman" w:cs="Times New Roman"/>
          <w:noProof/>
          <w:color w:val="000000" w:themeColor="text1"/>
          <w:lang w:val="en-IE"/>
        </w:rPr>
      </w:pPr>
      <m:oMathPara>
        <m:oMath>
          <m:r>
            <w:rPr>
              <w:rFonts w:ascii="Cambria Math" w:eastAsia="Times New Roman" w:hAnsi="Cambria Math" w:cs="Times New Roman"/>
              <w:noProof/>
              <w:color w:val="000000" w:themeColor="text1"/>
              <w:lang w:val="en-IE"/>
            </w:rPr>
            <m:t>trade intensity *emission intensity(</m:t>
          </m:r>
          <m:f>
            <m:fPr>
              <m:ctrlPr>
                <w:rPr>
                  <w:rFonts w:ascii="Cambria Math" w:eastAsia="Times New Roman" w:hAnsi="Cambria Math" w:cs="Times New Roman"/>
                  <w:i/>
                  <w:noProof/>
                  <w:color w:val="000000" w:themeColor="text1"/>
                  <w:lang w:val="en-IE"/>
                </w:rPr>
              </m:ctrlPr>
            </m:fPr>
            <m:num>
              <m:r>
                <w:rPr>
                  <w:rFonts w:ascii="Cambria Math" w:eastAsia="Times New Roman" w:hAnsi="Cambria Math" w:cs="Times New Roman"/>
                  <w:noProof/>
                  <w:color w:val="000000" w:themeColor="text1"/>
                  <w:lang w:val="en-IE"/>
                </w:rPr>
                <m:t>kg</m:t>
              </m:r>
              <m:sSub>
                <m:sSubPr>
                  <m:ctrlPr>
                    <w:rPr>
                      <w:rFonts w:ascii="Cambria Math" w:eastAsia="Times New Roman" w:hAnsi="Cambria Math" w:cs="Times New Roman"/>
                      <w:i/>
                      <w:noProof/>
                      <w:color w:val="000000" w:themeColor="text1"/>
                      <w:lang w:val="en-IE"/>
                    </w:rPr>
                  </m:ctrlPr>
                </m:sSubPr>
                <m:e>
                  <m:r>
                    <w:rPr>
                      <w:rFonts w:ascii="Cambria Math" w:eastAsia="Times New Roman" w:hAnsi="Cambria Math" w:cs="Times New Roman"/>
                      <w:noProof/>
                      <w:color w:val="000000" w:themeColor="text1"/>
                      <w:lang w:val="en-IE"/>
                    </w:rPr>
                    <m:t>CO</m:t>
                  </m:r>
                </m:e>
                <m:sub>
                  <m:r>
                    <w:rPr>
                      <w:rFonts w:ascii="Cambria Math" w:eastAsia="Times New Roman" w:hAnsi="Cambria Math" w:cs="Times New Roman"/>
                      <w:noProof/>
                      <w:color w:val="000000" w:themeColor="text1"/>
                      <w:lang w:val="en-IE"/>
                    </w:rPr>
                    <m:t>2</m:t>
                  </m:r>
                </m:sub>
              </m:sSub>
            </m:num>
            <m:den>
              <m:r>
                <w:rPr>
                  <w:rFonts w:ascii="Cambria Math" w:eastAsia="Times New Roman" w:hAnsi="Cambria Math" w:cs="Times New Roman"/>
                  <w:noProof/>
                  <w:color w:val="000000" w:themeColor="text1"/>
                  <w:lang w:val="en-IE"/>
                </w:rPr>
                <m:t xml:space="preserve">gross value added </m:t>
              </m:r>
              <m:d>
                <m:dPr>
                  <m:ctrlPr>
                    <w:rPr>
                      <w:rFonts w:ascii="Cambria Math" w:eastAsia="Times New Roman" w:hAnsi="Cambria Math" w:cs="Times New Roman"/>
                      <w:i/>
                      <w:noProof/>
                      <w:color w:val="000000" w:themeColor="text1"/>
                      <w:lang w:val="en-IE"/>
                    </w:rPr>
                  </m:ctrlPr>
                </m:dPr>
                <m:e>
                  <m:r>
                    <w:rPr>
                      <w:rFonts w:ascii="Cambria Math" w:eastAsia="Times New Roman" w:hAnsi="Cambria Math" w:cs="Times New Roman"/>
                      <w:noProof/>
                      <w:color w:val="000000" w:themeColor="text1"/>
                      <w:lang w:val="en-IE"/>
                    </w:rPr>
                    <m:t xml:space="preserve">in </m:t>
                  </m:r>
                  <m:r>
                    <m:rPr>
                      <m:sty m:val="p"/>
                    </m:rPr>
                    <w:rPr>
                      <w:rFonts w:ascii="Cambria Math" w:eastAsia="Times New Roman" w:hAnsi="Cambria Math" w:cs="Times New Roman"/>
                      <w:noProof/>
                      <w:color w:val="000000" w:themeColor="text1"/>
                      <w:lang w:val="en-IE"/>
                    </w:rPr>
                    <m:t>€</m:t>
                  </m:r>
                  <m:ctrlPr>
                    <w:rPr>
                      <w:rFonts w:ascii="Cambria Math" w:eastAsia="Times New Roman" w:hAnsi="Cambria Math" w:cs="Times New Roman"/>
                      <w:noProof/>
                      <w:color w:val="000000" w:themeColor="text1"/>
                      <w:lang w:val="en-IE"/>
                    </w:rPr>
                  </m:ctrlPr>
                </m:e>
              </m:d>
            </m:den>
          </m:f>
          <m:r>
            <w:rPr>
              <w:rFonts w:ascii="Cambria Math" w:eastAsia="Times New Roman" w:hAnsi="Cambria Math" w:cs="Times New Roman"/>
              <w:noProof/>
              <w:color w:val="000000" w:themeColor="text1"/>
              <w:lang w:val="en-IE"/>
            </w:rPr>
            <m:t>)&gt;0.2</m:t>
          </m:r>
        </m:oMath>
      </m:oMathPara>
    </w:p>
    <w:p w14:paraId="05931D0F" w14:textId="77777777" w:rsidR="00357EE3" w:rsidRPr="00BB239D" w:rsidRDefault="00357EE3" w:rsidP="00357EE3">
      <w:pPr>
        <w:shd w:val="clear" w:color="auto" w:fill="FFFFFF" w:themeFill="background1"/>
        <w:spacing w:after="0"/>
        <w:rPr>
          <w:rFonts w:ascii="Times New Roman" w:eastAsia="Cambria Math" w:hAnsi="Times New Roman" w:cs="Times New Roman"/>
          <w:i/>
          <w:noProof/>
          <w:color w:val="000000" w:themeColor="text1"/>
          <w:lang w:val="en-IE"/>
        </w:rPr>
      </w:pPr>
    </w:p>
    <w:p w14:paraId="46023574" w14:textId="425493C5" w:rsidR="00357EE3" w:rsidRPr="00BB239D" w:rsidRDefault="00357EE3" w:rsidP="47A516BB">
      <w:pPr>
        <w:shd w:val="clear" w:color="auto" w:fill="FFFFFF" w:themeFill="background1"/>
        <w:spacing w:after="0"/>
        <w:rPr>
          <w:rFonts w:ascii="Times New Roman" w:eastAsia="Times New Roman" w:hAnsi="Times New Roman" w:cs="Times New Roman"/>
          <w:noProof/>
          <w:color w:val="000000" w:themeColor="text1"/>
          <w:lang w:val="en-IE"/>
        </w:rPr>
      </w:pPr>
      <w:r w:rsidRPr="00BB239D">
        <w:rPr>
          <w:rFonts w:ascii="Times New Roman" w:eastAsia="Times New Roman" w:hAnsi="Times New Roman" w:cs="Times New Roman"/>
          <w:noProof/>
          <w:color w:val="000000" w:themeColor="text1"/>
          <w:lang w:val="en-IE"/>
        </w:rPr>
        <w:t>The carbon leakage list for phase IV is more focussed with a bit more than 50 sectors at NACE 4 level</w:t>
      </w:r>
      <w:r w:rsidR="0004069C" w:rsidRPr="00BB239D">
        <w:rPr>
          <w:rFonts w:ascii="Times New Roman" w:eastAsia="Times New Roman" w:hAnsi="Times New Roman" w:cs="Times New Roman"/>
          <w:noProof/>
          <w:color w:val="000000" w:themeColor="text1"/>
          <w:lang w:val="en-IE"/>
        </w:rPr>
        <w:t xml:space="preserve"> included in the list</w:t>
      </w:r>
      <w:r w:rsidRPr="00BB239D">
        <w:rPr>
          <w:rFonts w:ascii="Times New Roman" w:eastAsia="Times New Roman" w:hAnsi="Times New Roman" w:cs="Times New Roman"/>
          <w:noProof/>
          <w:color w:val="000000" w:themeColor="text1"/>
          <w:lang w:val="en-IE"/>
        </w:rPr>
        <w:t xml:space="preserve">, while </w:t>
      </w:r>
      <w:r w:rsidR="0004069C" w:rsidRPr="00BB239D">
        <w:rPr>
          <w:rFonts w:ascii="Times New Roman" w:eastAsia="Times New Roman" w:hAnsi="Times New Roman" w:cs="Times New Roman"/>
          <w:noProof/>
          <w:color w:val="000000" w:themeColor="text1"/>
          <w:lang w:val="en-IE"/>
        </w:rPr>
        <w:t>the list</w:t>
      </w:r>
      <w:r w:rsidRPr="00BB239D">
        <w:rPr>
          <w:rFonts w:ascii="Times New Roman" w:eastAsia="Times New Roman" w:hAnsi="Times New Roman" w:cs="Times New Roman"/>
          <w:noProof/>
          <w:color w:val="000000" w:themeColor="text1"/>
          <w:lang w:val="en-IE"/>
        </w:rPr>
        <w:t xml:space="preserve"> still cover</w:t>
      </w:r>
      <w:r w:rsidR="009308C9" w:rsidRPr="00BB239D">
        <w:rPr>
          <w:rFonts w:ascii="Times New Roman" w:eastAsia="Times New Roman" w:hAnsi="Times New Roman" w:cs="Times New Roman"/>
          <w:noProof/>
          <w:color w:val="000000" w:themeColor="text1"/>
          <w:lang w:val="en-IE"/>
        </w:rPr>
        <w:t>s</w:t>
      </w:r>
      <w:r w:rsidRPr="00BB239D">
        <w:rPr>
          <w:rFonts w:ascii="Times New Roman" w:eastAsia="Times New Roman" w:hAnsi="Times New Roman" w:cs="Times New Roman"/>
          <w:noProof/>
          <w:color w:val="000000" w:themeColor="text1"/>
          <w:lang w:val="en-IE"/>
        </w:rPr>
        <w:t xml:space="preserve"> all highly emission-intensive industry sectors.</w:t>
      </w:r>
    </w:p>
    <w:p w14:paraId="0F1875C5" w14:textId="5BC0F7D4" w:rsidR="2D34334D" w:rsidRDefault="2D34334D" w:rsidP="2D34334D">
      <w:pPr>
        <w:shd w:val="clear" w:color="auto" w:fill="FFFFFF" w:themeFill="background1"/>
        <w:spacing w:after="0"/>
        <w:rPr>
          <w:rFonts w:ascii="Times New Roman" w:eastAsia="Times New Roman" w:hAnsi="Times New Roman" w:cs="Times New Roman"/>
          <w:noProof/>
          <w:color w:val="000000" w:themeColor="text1"/>
          <w:lang w:val="en-IE"/>
        </w:rPr>
      </w:pPr>
    </w:p>
    <w:p w14:paraId="5DC97722" w14:textId="29E32EBD" w:rsidR="00357EE3" w:rsidRPr="007B2E2A" w:rsidRDefault="5E083674" w:rsidP="007B2E2A">
      <w:pPr>
        <w:pStyle w:val="Heading2"/>
        <w:numPr>
          <w:ilvl w:val="2"/>
          <w:numId w:val="2"/>
        </w:numPr>
        <w:spacing w:after="240" w:line="240" w:lineRule="auto"/>
        <w:jc w:val="both"/>
        <w:rPr>
          <w:rFonts w:ascii="Times New Roman" w:eastAsia="Times New Roman" w:hAnsi="Times New Roman" w:cs="Times New Roman"/>
          <w:noProof/>
          <w:lang w:val="en-IE"/>
        </w:rPr>
      </w:pPr>
      <w:bookmarkStart w:id="19" w:name="_Toc224218960"/>
      <w:bookmarkStart w:id="20" w:name="_Toc214972105"/>
      <w:r w:rsidRPr="007B2E2A">
        <w:rPr>
          <w:rFonts w:ascii="Times New Roman" w:eastAsia="Times New Roman" w:hAnsi="Times New Roman" w:cs="Times New Roman"/>
          <w:noProof/>
          <w:lang w:val="en-IE"/>
        </w:rPr>
        <w:t>I</w:t>
      </w:r>
      <w:r w:rsidR="00C13802" w:rsidRPr="007B2E2A">
        <w:rPr>
          <w:rFonts w:ascii="Times New Roman" w:eastAsia="Times New Roman" w:hAnsi="Times New Roman" w:cs="Times New Roman"/>
          <w:noProof/>
          <w:lang w:val="en-IE"/>
        </w:rPr>
        <w:t xml:space="preserve">ndicators for </w:t>
      </w:r>
      <w:r w:rsidR="1B48284C" w:rsidRPr="2A4DC8C2">
        <w:rPr>
          <w:rFonts w:ascii="Times New Roman" w:eastAsia="Times New Roman" w:hAnsi="Times New Roman" w:cs="Times New Roman"/>
          <w:noProof/>
          <w:lang w:val="en-IE"/>
        </w:rPr>
        <w:t>remaining</w:t>
      </w:r>
      <w:r w:rsidR="00C13802" w:rsidRPr="007B2E2A">
        <w:rPr>
          <w:rFonts w:ascii="Times New Roman" w:eastAsia="Times New Roman" w:hAnsi="Times New Roman" w:cs="Times New Roman"/>
          <w:noProof/>
          <w:lang w:val="en-IE"/>
        </w:rPr>
        <w:t xml:space="preserve"> carbon leakage risks</w:t>
      </w:r>
      <w:bookmarkEnd w:id="19"/>
      <w:bookmarkEnd w:id="20"/>
    </w:p>
    <w:p w14:paraId="14EC44F2" w14:textId="10C2918F" w:rsidR="00357EE3" w:rsidRPr="00BB239D" w:rsidRDefault="00357EE3" w:rsidP="00357EE3">
      <w:pPr>
        <w:jc w:val="both"/>
        <w:rPr>
          <w:rFonts w:ascii="Times New Roman" w:eastAsia="Times New Roman" w:hAnsi="Times New Roman" w:cs="Times New Roman"/>
          <w:noProof/>
          <w:color w:val="000000" w:themeColor="text1"/>
          <w:lang w:val="en-IE"/>
        </w:rPr>
      </w:pPr>
      <w:r w:rsidRPr="00BB239D">
        <w:rPr>
          <w:rFonts w:ascii="Times New Roman" w:eastAsia="Times New Roman" w:hAnsi="Times New Roman" w:cs="Times New Roman"/>
          <w:noProof/>
          <w:color w:val="000000" w:themeColor="text1"/>
          <w:lang w:val="en-IE"/>
        </w:rPr>
        <w:t xml:space="preserve">To determine the </w:t>
      </w:r>
      <w:r w:rsidR="7ABFC4AE" w:rsidRPr="00BB239D">
        <w:rPr>
          <w:rFonts w:ascii="Times New Roman" w:hAnsi="Times New Roman" w:cs="Times New Roman"/>
          <w:noProof/>
        </w:rPr>
        <w:t>remaining</w:t>
      </w:r>
      <w:r w:rsidR="00076374" w:rsidRPr="00BB239D">
        <w:rPr>
          <w:rFonts w:ascii="Times New Roman" w:eastAsia="Times New Roman" w:hAnsi="Times New Roman" w:cs="Times New Roman"/>
          <w:noProof/>
          <w:color w:val="000000" w:themeColor="text1"/>
          <w:lang w:val="en-IE"/>
        </w:rPr>
        <w:t xml:space="preserve"> </w:t>
      </w:r>
      <w:r w:rsidRPr="00BB239D">
        <w:rPr>
          <w:rFonts w:ascii="Times New Roman" w:eastAsia="Times New Roman" w:hAnsi="Times New Roman" w:cs="Times New Roman"/>
          <w:noProof/>
          <w:color w:val="000000" w:themeColor="text1"/>
          <w:lang w:val="en-IE"/>
        </w:rPr>
        <w:t>carbon leakage risk</w:t>
      </w:r>
      <w:r w:rsidR="006376DF" w:rsidRPr="00BB239D">
        <w:rPr>
          <w:rFonts w:ascii="Times New Roman" w:eastAsia="Times New Roman" w:hAnsi="Times New Roman" w:cs="Times New Roman"/>
          <w:noProof/>
          <w:color w:val="000000" w:themeColor="text1"/>
          <w:lang w:val="en-IE"/>
        </w:rPr>
        <w:t xml:space="preserve"> described above</w:t>
      </w:r>
      <w:r w:rsidRPr="00BB239D">
        <w:rPr>
          <w:rFonts w:ascii="Times New Roman" w:eastAsia="Times New Roman" w:hAnsi="Times New Roman" w:cs="Times New Roman"/>
          <w:noProof/>
          <w:color w:val="000000" w:themeColor="text1"/>
          <w:lang w:val="en-IE"/>
        </w:rPr>
        <w:t>, the indicators used in phase III and phase IV of the EU ETS need to be adjusted.</w:t>
      </w:r>
    </w:p>
    <w:p w14:paraId="28D55EA5" w14:textId="5AC87FBF" w:rsidR="00357EE3" w:rsidRPr="00BB239D" w:rsidRDefault="6A32AA3D" w:rsidP="72B8057F">
      <w:pPr>
        <w:jc w:val="both"/>
        <w:rPr>
          <w:rFonts w:ascii="Times New Roman" w:eastAsia="Times New Roman" w:hAnsi="Times New Roman" w:cs="Times New Roman"/>
          <w:noProof/>
          <w:color w:val="000000" w:themeColor="text1"/>
          <w:lang w:val="en-IE"/>
        </w:rPr>
      </w:pPr>
      <w:r w:rsidRPr="00BB239D">
        <w:rPr>
          <w:rFonts w:ascii="Times New Roman" w:eastAsia="Times New Roman" w:hAnsi="Times New Roman" w:cs="Times New Roman"/>
          <w:noProof/>
          <w:color w:val="000000" w:themeColor="text1"/>
          <w:lang w:val="en-IE"/>
        </w:rPr>
        <w:t>In phase III of the EU ETS</w:t>
      </w:r>
      <w:r w:rsidR="3461B28D" w:rsidRPr="00BB239D">
        <w:rPr>
          <w:rFonts w:ascii="Times New Roman" w:eastAsia="Times New Roman" w:hAnsi="Times New Roman" w:cs="Times New Roman"/>
          <w:noProof/>
          <w:color w:val="000000" w:themeColor="text1"/>
          <w:lang w:val="en-IE"/>
        </w:rPr>
        <w:t>, one of the two</w:t>
      </w:r>
      <w:r w:rsidR="225E58C2" w:rsidRPr="00BB239D">
        <w:rPr>
          <w:rFonts w:ascii="Times New Roman" w:eastAsia="Times New Roman" w:hAnsi="Times New Roman" w:cs="Times New Roman"/>
          <w:noProof/>
          <w:color w:val="000000" w:themeColor="text1"/>
          <w:lang w:val="en-IE"/>
        </w:rPr>
        <w:t xml:space="preserve"> </w:t>
      </w:r>
      <w:r w:rsidR="60DE1CAD" w:rsidRPr="00BB239D">
        <w:rPr>
          <w:rFonts w:ascii="Times New Roman" w:eastAsia="Times New Roman" w:hAnsi="Times New Roman" w:cs="Times New Roman"/>
          <w:noProof/>
          <w:color w:val="000000" w:themeColor="text1"/>
          <w:lang w:val="en-IE"/>
        </w:rPr>
        <w:t>defining</w:t>
      </w:r>
      <w:r w:rsidR="3461B28D" w:rsidRPr="00BB239D">
        <w:rPr>
          <w:rFonts w:ascii="Times New Roman" w:eastAsia="Times New Roman" w:hAnsi="Times New Roman" w:cs="Times New Roman"/>
          <w:noProof/>
          <w:color w:val="000000" w:themeColor="text1"/>
          <w:lang w:val="en-IE"/>
        </w:rPr>
        <w:t xml:space="preserve"> criteria was </w:t>
      </w:r>
      <w:r w:rsidR="7ACB97A5" w:rsidRPr="00BB239D">
        <w:rPr>
          <w:rFonts w:ascii="Times New Roman" w:eastAsia="Times New Roman" w:hAnsi="Times New Roman" w:cs="Times New Roman"/>
          <w:noProof/>
          <w:color w:val="000000" w:themeColor="text1"/>
          <w:lang w:val="en-IE"/>
        </w:rPr>
        <w:t>a carbon cost indicator</w:t>
      </w:r>
      <w:r w:rsidR="3461B28D" w:rsidRPr="00BB239D">
        <w:rPr>
          <w:rFonts w:ascii="Times New Roman" w:eastAsia="Times New Roman" w:hAnsi="Times New Roman" w:cs="Times New Roman"/>
          <w:noProof/>
          <w:color w:val="000000" w:themeColor="text1"/>
          <w:lang w:val="en-IE"/>
        </w:rPr>
        <w:t xml:space="preserve"> while in phase IV </w:t>
      </w:r>
      <w:r w:rsidR="078CCDFB" w:rsidRPr="00BB239D">
        <w:rPr>
          <w:rFonts w:ascii="Times New Roman" w:eastAsia="Times New Roman" w:hAnsi="Times New Roman" w:cs="Times New Roman"/>
          <w:noProof/>
          <w:color w:val="000000" w:themeColor="text1"/>
          <w:lang w:val="en-IE"/>
        </w:rPr>
        <w:t xml:space="preserve">it was </w:t>
      </w:r>
      <w:r w:rsidR="01E2AF24" w:rsidRPr="00BB239D">
        <w:rPr>
          <w:rFonts w:ascii="Times New Roman" w:eastAsia="Times New Roman" w:hAnsi="Times New Roman" w:cs="Times New Roman"/>
          <w:noProof/>
          <w:color w:val="000000" w:themeColor="text1"/>
          <w:lang w:val="en-IE"/>
        </w:rPr>
        <w:t>an</w:t>
      </w:r>
      <w:r w:rsidR="078CCDFB" w:rsidRPr="00BB239D">
        <w:rPr>
          <w:rFonts w:ascii="Times New Roman" w:eastAsia="Times New Roman" w:hAnsi="Times New Roman" w:cs="Times New Roman"/>
          <w:noProof/>
          <w:color w:val="000000" w:themeColor="text1"/>
          <w:lang w:val="en-IE"/>
        </w:rPr>
        <w:t xml:space="preserve"> emission intensity</w:t>
      </w:r>
      <w:r w:rsidR="10F8F996" w:rsidRPr="00BB239D">
        <w:rPr>
          <w:rFonts w:ascii="Times New Roman" w:eastAsia="Times New Roman" w:hAnsi="Times New Roman" w:cs="Times New Roman"/>
          <w:noProof/>
          <w:color w:val="000000" w:themeColor="text1"/>
          <w:lang w:val="en-IE"/>
        </w:rPr>
        <w:t xml:space="preserve"> indicator</w:t>
      </w:r>
      <w:r w:rsidR="078CCDFB" w:rsidRPr="00BB239D">
        <w:rPr>
          <w:rFonts w:ascii="Times New Roman" w:eastAsia="Times New Roman" w:hAnsi="Times New Roman" w:cs="Times New Roman"/>
          <w:noProof/>
          <w:color w:val="000000" w:themeColor="text1"/>
          <w:lang w:val="en-IE"/>
        </w:rPr>
        <w:t>. Both approaches a</w:t>
      </w:r>
      <w:r w:rsidR="488715F9" w:rsidRPr="00BB239D">
        <w:rPr>
          <w:rFonts w:ascii="Times New Roman" w:eastAsia="Times New Roman" w:hAnsi="Times New Roman" w:cs="Times New Roman"/>
          <w:noProof/>
          <w:color w:val="000000" w:themeColor="text1"/>
          <w:lang w:val="en-IE"/>
        </w:rPr>
        <w:t xml:space="preserve">re capturing the same </w:t>
      </w:r>
      <w:r w:rsidR="0AB42C2A" w:rsidRPr="00BB239D">
        <w:rPr>
          <w:rFonts w:ascii="Times New Roman" w:eastAsia="Times New Roman" w:hAnsi="Times New Roman" w:cs="Times New Roman"/>
          <w:noProof/>
          <w:color w:val="000000" w:themeColor="text1"/>
          <w:lang w:val="en-IE"/>
        </w:rPr>
        <w:t>potential cause of carbon leakage.</w:t>
      </w:r>
    </w:p>
    <w:p w14:paraId="66BFD388" w14:textId="67008A0E" w:rsidR="5BA5732E" w:rsidRPr="00BB239D" w:rsidRDefault="7B268188" w:rsidP="749B1BD9">
      <w:pPr>
        <w:jc w:val="both"/>
        <w:rPr>
          <w:rFonts w:ascii="Times New Roman" w:eastAsia="Times New Roman" w:hAnsi="Times New Roman" w:cs="Times New Roman"/>
          <w:noProof/>
          <w:lang w:val="en-IE"/>
        </w:rPr>
      </w:pPr>
      <w:r w:rsidRPr="00BB239D">
        <w:rPr>
          <w:rFonts w:ascii="Times New Roman" w:hAnsi="Times New Roman" w:cs="Times New Roman"/>
          <w:noProof/>
          <w:lang w:val="en-IE"/>
        </w:rPr>
        <w:t>All CBAM goods are deemed to have a</w:t>
      </w:r>
      <w:r w:rsidR="00034AE4" w:rsidRPr="00BB239D">
        <w:rPr>
          <w:rFonts w:ascii="Times New Roman" w:hAnsi="Times New Roman" w:cs="Times New Roman"/>
          <w:noProof/>
          <w:lang w:val="en-IE"/>
        </w:rPr>
        <w:t xml:space="preserve"> </w:t>
      </w:r>
      <w:r w:rsidR="00803837" w:rsidRPr="00BB239D">
        <w:rPr>
          <w:rFonts w:ascii="Times New Roman" w:hAnsi="Times New Roman" w:cs="Times New Roman"/>
          <w:noProof/>
          <w:lang w:val="en-IE"/>
        </w:rPr>
        <w:t>significantly</w:t>
      </w:r>
      <w:r w:rsidR="00034AE4" w:rsidRPr="00BB239D">
        <w:rPr>
          <w:rFonts w:ascii="Times New Roman" w:hAnsi="Times New Roman" w:cs="Times New Roman"/>
          <w:noProof/>
          <w:lang w:val="en-IE"/>
        </w:rPr>
        <w:t xml:space="preserve"> high</w:t>
      </w:r>
      <w:r w:rsidRPr="00BB239D">
        <w:rPr>
          <w:rFonts w:ascii="Times New Roman" w:hAnsi="Times New Roman" w:cs="Times New Roman"/>
          <w:noProof/>
          <w:lang w:val="en-IE"/>
        </w:rPr>
        <w:t xml:space="preserve"> emission intensity. </w:t>
      </w:r>
      <w:r w:rsidR="4CD627B8" w:rsidRPr="00BB239D">
        <w:rPr>
          <w:rFonts w:ascii="Times New Roman" w:hAnsi="Times New Roman" w:cs="Times New Roman"/>
          <w:noProof/>
          <w:lang w:val="en-IE"/>
        </w:rPr>
        <w:t>The CBAM Regulation</w:t>
      </w:r>
      <w:r w:rsidR="00EE72E6">
        <w:rPr>
          <w:rStyle w:val="FootnoteReference"/>
          <w:rFonts w:ascii="Times New Roman" w:hAnsi="Times New Roman" w:cs="Times New Roman"/>
          <w:noProof/>
          <w:lang w:val="en-IE"/>
        </w:rPr>
        <w:footnoteReference w:id="9"/>
      </w:r>
      <w:r w:rsidR="00BD031B" w:rsidRPr="00BB239D">
        <w:rPr>
          <w:rFonts w:ascii="Times New Roman" w:hAnsi="Times New Roman" w:cs="Times New Roman"/>
          <w:noProof/>
          <w:lang w:val="en-IE"/>
        </w:rPr>
        <w:t xml:space="preserve"> (recital </w:t>
      </w:r>
      <w:r w:rsidR="00B70801" w:rsidRPr="00BB239D">
        <w:rPr>
          <w:rFonts w:ascii="Times New Roman" w:hAnsi="Times New Roman" w:cs="Times New Roman"/>
          <w:noProof/>
          <w:lang w:val="en-IE"/>
        </w:rPr>
        <w:t>31)</w:t>
      </w:r>
      <w:r w:rsidR="4CD627B8" w:rsidRPr="00BB239D">
        <w:rPr>
          <w:rFonts w:ascii="Times New Roman" w:hAnsi="Times New Roman" w:cs="Times New Roman"/>
          <w:noProof/>
          <w:lang w:val="en-IE"/>
        </w:rPr>
        <w:t xml:space="preserve"> specifies that </w:t>
      </w:r>
      <w:r w:rsidR="02906AA6" w:rsidRPr="00BB239D">
        <w:rPr>
          <w:rFonts w:ascii="Times New Roman" w:hAnsi="Times New Roman" w:cs="Times New Roman"/>
          <w:noProof/>
          <w:lang w:val="en-IE"/>
        </w:rPr>
        <w:t>‘</w:t>
      </w:r>
      <w:r w:rsidR="00B70801" w:rsidRPr="00BB239D">
        <w:rPr>
          <w:rFonts w:ascii="Times New Roman" w:hAnsi="Times New Roman" w:cs="Times New Roman"/>
          <w:noProof/>
          <w:lang w:val="en-IE"/>
        </w:rPr>
        <w:t>[t]</w:t>
      </w:r>
      <w:r w:rsidR="02906AA6" w:rsidRPr="00BB239D">
        <w:rPr>
          <w:rFonts w:ascii="Times New Roman" w:hAnsi="Times New Roman" w:cs="Times New Roman"/>
          <w:noProof/>
          <w:lang w:val="en-IE"/>
        </w:rPr>
        <w:t>he goods, to which this Regulation should apply, should be selected after careful analysis of their relevance in terms of cumulated greenhouse gas emissions (...)’.</w:t>
      </w:r>
      <w:r w:rsidR="40D73D6F" w:rsidRPr="00BB239D">
        <w:rPr>
          <w:rFonts w:ascii="Times New Roman" w:hAnsi="Times New Roman" w:cs="Times New Roman"/>
          <w:noProof/>
          <w:lang w:val="en-IE"/>
        </w:rPr>
        <w:t xml:space="preserve"> </w:t>
      </w:r>
      <w:r w:rsidR="7FF79796" w:rsidRPr="00BB239D">
        <w:rPr>
          <w:rFonts w:ascii="Times New Roman" w:hAnsi="Times New Roman" w:cs="Times New Roman"/>
          <w:noProof/>
          <w:lang w:val="en-IE"/>
        </w:rPr>
        <w:t>An additional analysis of the emission intensity would thus be redundant.</w:t>
      </w:r>
      <w:r w:rsidR="2342AD62" w:rsidRPr="00BB239D">
        <w:rPr>
          <w:rFonts w:ascii="Times New Roman" w:hAnsi="Times New Roman" w:cs="Times New Roman"/>
          <w:noProof/>
          <w:lang w:val="en-IE"/>
        </w:rPr>
        <w:t xml:space="preserve"> </w:t>
      </w:r>
    </w:p>
    <w:p w14:paraId="5B607286" w14:textId="02E256AA" w:rsidR="28617909" w:rsidRDefault="00436870" w:rsidP="749B1BD9">
      <w:pPr>
        <w:jc w:val="both"/>
        <w:rPr>
          <w:rFonts w:ascii="Times New Roman" w:eastAsia="Times New Roman" w:hAnsi="Times New Roman" w:cs="Times New Roman"/>
          <w:noProof/>
          <w:color w:val="000000" w:themeColor="text1"/>
          <w:sz w:val="18"/>
          <w:szCs w:val="18"/>
          <w:lang w:val="en-IE"/>
        </w:rPr>
      </w:pPr>
      <w:r>
        <w:rPr>
          <w:rFonts w:ascii="Times New Roman" w:hAnsi="Times New Roman" w:cs="Times New Roman"/>
          <w:noProof/>
          <w:lang w:val="en-IE"/>
        </w:rPr>
        <w:t xml:space="preserve">The </w:t>
      </w:r>
      <w:r w:rsidR="002641B1">
        <w:rPr>
          <w:rFonts w:ascii="Times New Roman" w:hAnsi="Times New Roman" w:cs="Times New Roman"/>
          <w:noProof/>
          <w:lang w:val="en-IE"/>
        </w:rPr>
        <w:t>trade intensity indicator also required adjustments</w:t>
      </w:r>
      <w:r w:rsidR="002D29AE">
        <w:rPr>
          <w:rFonts w:ascii="Times New Roman" w:hAnsi="Times New Roman" w:cs="Times New Roman"/>
          <w:noProof/>
          <w:lang w:val="en-IE"/>
        </w:rPr>
        <w:t xml:space="preserve"> to focus the measure on the </w:t>
      </w:r>
      <w:r>
        <w:rPr>
          <w:rFonts w:ascii="Times New Roman" w:hAnsi="Times New Roman" w:cs="Times New Roman"/>
          <w:noProof/>
          <w:lang w:val="en-IE"/>
        </w:rPr>
        <w:t>remaining</w:t>
      </w:r>
      <w:r w:rsidR="00BB34C4">
        <w:rPr>
          <w:rFonts w:ascii="Times New Roman" w:hAnsi="Times New Roman" w:cs="Times New Roman"/>
          <w:noProof/>
          <w:lang w:val="en-IE"/>
        </w:rPr>
        <w:t xml:space="preserve"> </w:t>
      </w:r>
      <w:r w:rsidR="002D29AE">
        <w:rPr>
          <w:rFonts w:ascii="Times New Roman" w:hAnsi="Times New Roman" w:cs="Times New Roman"/>
          <w:noProof/>
          <w:lang w:val="en-IE"/>
        </w:rPr>
        <w:t>risks</w:t>
      </w:r>
      <w:r w:rsidR="009F1302">
        <w:rPr>
          <w:rFonts w:ascii="Times New Roman" w:hAnsi="Times New Roman" w:cs="Times New Roman"/>
          <w:noProof/>
          <w:lang w:val="en-IE"/>
        </w:rPr>
        <w:t xml:space="preserve"> after the application of the CBAM</w:t>
      </w:r>
      <w:r w:rsidR="002D29AE">
        <w:rPr>
          <w:rFonts w:ascii="Times New Roman" w:hAnsi="Times New Roman" w:cs="Times New Roman"/>
          <w:noProof/>
          <w:lang w:val="en-IE"/>
        </w:rPr>
        <w:t>.</w:t>
      </w:r>
      <w:r w:rsidR="002641B1">
        <w:rPr>
          <w:rFonts w:ascii="Times New Roman" w:hAnsi="Times New Roman" w:cs="Times New Roman"/>
          <w:noProof/>
          <w:lang w:val="en-IE"/>
        </w:rPr>
        <w:t xml:space="preserve"> </w:t>
      </w:r>
    </w:p>
    <w:p w14:paraId="0195A717" w14:textId="40235967" w:rsidR="008A3D5D" w:rsidRPr="00BB292C" w:rsidRDefault="004D73B7" w:rsidP="749B1BD9">
      <w:pPr>
        <w:pStyle w:val="Heading2"/>
        <w:numPr>
          <w:ilvl w:val="1"/>
          <w:numId w:val="2"/>
        </w:numPr>
        <w:spacing w:after="240" w:line="240" w:lineRule="auto"/>
        <w:ind w:hanging="360"/>
        <w:jc w:val="both"/>
        <w:rPr>
          <w:rFonts w:ascii="Times New Roman" w:eastAsia="Times New Roman" w:hAnsi="Times New Roman" w:cs="Times New Roman"/>
          <w:noProof/>
          <w:lang w:val="en-IE"/>
        </w:rPr>
      </w:pPr>
      <w:bookmarkStart w:id="21" w:name="_Toc224218961"/>
      <w:bookmarkStart w:id="22" w:name="_Toc214972106"/>
      <w:r w:rsidRPr="001B4E8D">
        <w:rPr>
          <w:rFonts w:ascii="Times New Roman" w:hAnsi="Times New Roman" w:cs="Times New Roman"/>
          <w:noProof/>
          <w:lang w:val="en-IE"/>
        </w:rPr>
        <w:t>Proposed a</w:t>
      </w:r>
      <w:r w:rsidR="008A3D5D" w:rsidRPr="001B4E8D">
        <w:rPr>
          <w:rFonts w:ascii="Times New Roman" w:hAnsi="Times New Roman" w:cs="Times New Roman"/>
          <w:noProof/>
          <w:lang w:val="en-IE"/>
        </w:rPr>
        <w:t xml:space="preserve">pproach to </w:t>
      </w:r>
      <w:r>
        <w:rPr>
          <w:rFonts w:ascii="Times New Roman" w:hAnsi="Times New Roman" w:cs="Times New Roman"/>
          <w:noProof/>
          <w:lang w:val="en-IE"/>
        </w:rPr>
        <w:t>determine</w:t>
      </w:r>
      <w:r w:rsidR="008A3D5D" w:rsidRPr="001B4E8D">
        <w:rPr>
          <w:rFonts w:ascii="Times New Roman" w:hAnsi="Times New Roman" w:cs="Times New Roman"/>
          <w:noProof/>
          <w:lang w:val="en-IE"/>
        </w:rPr>
        <w:t xml:space="preserve"> the </w:t>
      </w:r>
      <w:r w:rsidR="4F49BDEC" w:rsidRPr="001B4E8D">
        <w:rPr>
          <w:rFonts w:ascii="Times New Roman" w:hAnsi="Times New Roman" w:cs="Times New Roman"/>
          <w:noProof/>
          <w:lang w:val="en-IE"/>
        </w:rPr>
        <w:t>remaining</w:t>
      </w:r>
      <w:r w:rsidR="00DF5795" w:rsidRPr="001B4E8D">
        <w:rPr>
          <w:rFonts w:ascii="Times New Roman" w:hAnsi="Times New Roman" w:cs="Times New Roman"/>
          <w:noProof/>
          <w:lang w:val="en-IE"/>
        </w:rPr>
        <w:t xml:space="preserve"> </w:t>
      </w:r>
      <w:r w:rsidR="008A3D5D" w:rsidRPr="001B4E8D">
        <w:rPr>
          <w:rFonts w:ascii="Times New Roman" w:hAnsi="Times New Roman" w:cs="Times New Roman"/>
          <w:noProof/>
          <w:lang w:val="en-IE"/>
        </w:rPr>
        <w:t xml:space="preserve">carbon leakage </w:t>
      </w:r>
      <w:r w:rsidR="00DF5795" w:rsidRPr="001B4E8D">
        <w:rPr>
          <w:rFonts w:ascii="Times New Roman" w:hAnsi="Times New Roman" w:cs="Times New Roman"/>
          <w:noProof/>
          <w:lang w:val="en-IE"/>
        </w:rPr>
        <w:t>risk</w:t>
      </w:r>
      <w:bookmarkEnd w:id="21"/>
      <w:bookmarkEnd w:id="22"/>
    </w:p>
    <w:p w14:paraId="2CD9DD0D" w14:textId="05205475" w:rsidR="007262E8" w:rsidRPr="00BB239D" w:rsidRDefault="054D2D54" w:rsidP="215488E2">
      <w:pPr>
        <w:spacing w:after="0" w:line="257" w:lineRule="auto"/>
        <w:jc w:val="both"/>
        <w:rPr>
          <w:rFonts w:ascii="Times New Roman" w:eastAsia="Times New Roman" w:hAnsi="Times New Roman" w:cs="Times New Roman"/>
          <w:noProof/>
        </w:rPr>
      </w:pPr>
      <w:r w:rsidRPr="59F485BF">
        <w:rPr>
          <w:rFonts w:ascii="Times New Roman" w:hAnsi="Times New Roman" w:cs="Times New Roman"/>
          <w:noProof/>
          <w:lang w:val="en-IE"/>
        </w:rPr>
        <w:t>The proposed decarbon</w:t>
      </w:r>
      <w:r w:rsidR="063AD178" w:rsidRPr="59F485BF">
        <w:rPr>
          <w:rFonts w:ascii="Times New Roman" w:hAnsi="Times New Roman" w:cs="Times New Roman"/>
          <w:noProof/>
          <w:lang w:val="en-IE"/>
        </w:rPr>
        <w:t>isat</w:t>
      </w:r>
      <w:r w:rsidR="560BB165" w:rsidRPr="59F485BF">
        <w:rPr>
          <w:rFonts w:ascii="Times New Roman" w:hAnsi="Times New Roman" w:cs="Times New Roman"/>
          <w:noProof/>
          <w:lang w:val="en-IE"/>
        </w:rPr>
        <w:t>i</w:t>
      </w:r>
      <w:r w:rsidR="063AD178" w:rsidRPr="59F485BF">
        <w:rPr>
          <w:rFonts w:ascii="Times New Roman" w:hAnsi="Times New Roman" w:cs="Times New Roman"/>
          <w:noProof/>
          <w:lang w:val="en-IE"/>
        </w:rPr>
        <w:t>on fund will provide</w:t>
      </w:r>
      <w:r w:rsidR="00A57CE7" w:rsidRPr="59F485BF">
        <w:rPr>
          <w:rFonts w:ascii="Times New Roman" w:hAnsi="Times New Roman" w:cs="Times New Roman"/>
          <w:noProof/>
          <w:lang w:val="en-IE"/>
        </w:rPr>
        <w:t xml:space="preserve"> temporary</w:t>
      </w:r>
      <w:r w:rsidR="063AD178" w:rsidRPr="59F485BF">
        <w:rPr>
          <w:rFonts w:ascii="Times New Roman" w:hAnsi="Times New Roman" w:cs="Times New Roman"/>
          <w:noProof/>
          <w:lang w:val="en-IE"/>
        </w:rPr>
        <w:t xml:space="preserve"> financial support to o</w:t>
      </w:r>
      <w:r w:rsidR="0AC5C1A1" w:rsidRPr="59F485BF">
        <w:rPr>
          <w:rFonts w:ascii="Times New Roman" w:hAnsi="Times New Roman" w:cs="Times New Roman"/>
          <w:noProof/>
          <w:lang w:val="en-IE"/>
        </w:rPr>
        <w:t>perators of EU</w:t>
      </w:r>
      <w:r>
        <w:rPr>
          <w:rFonts w:ascii="Times New Roman" w:hAnsi="Times New Roman" w:cs="Times New Roman"/>
          <w:noProof/>
          <w:lang w:val="en-IE"/>
        </w:rPr>
        <w:t xml:space="preserve"> </w:t>
      </w:r>
      <w:r w:rsidR="0AC5C1A1" w:rsidRPr="59F485BF">
        <w:rPr>
          <w:rFonts w:ascii="Times New Roman" w:hAnsi="Times New Roman" w:cs="Times New Roman"/>
          <w:noProof/>
          <w:lang w:val="en-IE"/>
        </w:rPr>
        <w:t>ETS installations that produce goods included in a pre-defined list of goods considered to be at risk of</w:t>
      </w:r>
      <w:r w:rsidR="004B5BDD" w:rsidRPr="59F485BF">
        <w:rPr>
          <w:rFonts w:ascii="Times New Roman" w:hAnsi="Times New Roman" w:cs="Times New Roman"/>
          <w:noProof/>
          <w:lang w:val="en-IE"/>
        </w:rPr>
        <w:t xml:space="preserve"> remaining </w:t>
      </w:r>
      <w:r w:rsidR="0AC5C1A1" w:rsidRPr="59F485BF">
        <w:rPr>
          <w:rFonts w:ascii="Times New Roman" w:hAnsi="Times New Roman" w:cs="Times New Roman"/>
          <w:noProof/>
          <w:lang w:val="en-IE"/>
        </w:rPr>
        <w:t>carbon leakage</w:t>
      </w:r>
      <w:r w:rsidR="510D4EBD" w:rsidRPr="59F485BF">
        <w:rPr>
          <w:rFonts w:ascii="Times New Roman" w:hAnsi="Times New Roman" w:cs="Times New Roman"/>
          <w:noProof/>
          <w:lang w:val="en-IE"/>
        </w:rPr>
        <w:t>.</w:t>
      </w:r>
      <w:r w:rsidR="1E493E11" w:rsidRPr="59F485BF">
        <w:rPr>
          <w:rFonts w:ascii="Times New Roman" w:hAnsi="Times New Roman" w:cs="Times New Roman"/>
          <w:noProof/>
          <w:lang w:val="en-IE"/>
        </w:rPr>
        <w:t xml:space="preserve"> </w:t>
      </w:r>
      <w:r w:rsidR="7C6920FB" w:rsidRPr="59F485BF">
        <w:rPr>
          <w:rFonts w:ascii="Times New Roman" w:hAnsi="Times New Roman" w:cs="Times New Roman"/>
          <w:noProof/>
          <w:lang w:val="en-IE"/>
        </w:rPr>
        <w:t xml:space="preserve">In order to </w:t>
      </w:r>
      <w:r w:rsidR="3E9B2AAE" w:rsidRPr="59F485BF">
        <w:rPr>
          <w:rFonts w:ascii="Times New Roman" w:hAnsi="Times New Roman" w:cs="Times New Roman"/>
          <w:noProof/>
          <w:lang w:val="en-IE"/>
        </w:rPr>
        <w:t>define this list of goods at ris</w:t>
      </w:r>
      <w:r w:rsidR="12BCF403" w:rsidRPr="59F485BF">
        <w:rPr>
          <w:rFonts w:ascii="Times New Roman" w:hAnsi="Times New Roman" w:cs="Times New Roman"/>
          <w:noProof/>
          <w:lang w:val="en-IE"/>
        </w:rPr>
        <w:t>k</w:t>
      </w:r>
      <w:r w:rsidR="3E9B2AAE" w:rsidRPr="59F485BF">
        <w:rPr>
          <w:rFonts w:ascii="Times New Roman" w:hAnsi="Times New Roman" w:cs="Times New Roman"/>
          <w:noProof/>
          <w:lang w:val="en-IE"/>
        </w:rPr>
        <w:t xml:space="preserve">, </w:t>
      </w:r>
      <w:r w:rsidR="3E9B2AAE" w:rsidRPr="59F485BF">
        <w:rPr>
          <w:rFonts w:ascii="Times New Roman" w:hAnsi="Times New Roman" w:cs="Times New Roman"/>
          <w:noProof/>
        </w:rPr>
        <w:t>i</w:t>
      </w:r>
      <w:r w:rsidR="03727459" w:rsidRPr="59F485BF">
        <w:rPr>
          <w:rFonts w:ascii="Times New Roman" w:hAnsi="Times New Roman" w:cs="Times New Roman"/>
          <w:noProof/>
        </w:rPr>
        <w:t xml:space="preserve">n a first step, the scope of potentially eligible goods is limited to goods </w:t>
      </w:r>
      <w:r w:rsidR="054792D5" w:rsidRPr="59F485BF">
        <w:rPr>
          <w:rFonts w:ascii="Times New Roman" w:hAnsi="Times New Roman" w:cs="Times New Roman"/>
          <w:noProof/>
        </w:rPr>
        <w:t xml:space="preserve">listed in Annex I of the </w:t>
      </w:r>
      <w:r w:rsidR="03727459" w:rsidRPr="59F485BF">
        <w:rPr>
          <w:rFonts w:ascii="Times New Roman" w:hAnsi="Times New Roman" w:cs="Times New Roman"/>
          <w:noProof/>
        </w:rPr>
        <w:t>Regulation (EU) 2023/956</w:t>
      </w:r>
      <w:r w:rsidR="62CA2A56" w:rsidRPr="59F485BF">
        <w:rPr>
          <w:rFonts w:ascii="Times New Roman" w:hAnsi="Times New Roman" w:cs="Times New Roman"/>
          <w:noProof/>
        </w:rPr>
        <w:t xml:space="preserve"> (except electricity)</w:t>
      </w:r>
      <w:r w:rsidR="03727459" w:rsidRPr="59F485BF">
        <w:rPr>
          <w:rFonts w:ascii="Times New Roman" w:hAnsi="Times New Roman" w:cs="Times New Roman"/>
          <w:noProof/>
        </w:rPr>
        <w:t xml:space="preserve">, </w:t>
      </w:r>
      <w:r w:rsidR="463D8AE3" w:rsidRPr="59F485BF">
        <w:rPr>
          <w:rFonts w:ascii="Times New Roman" w:hAnsi="Times New Roman" w:cs="Times New Roman"/>
          <w:noProof/>
        </w:rPr>
        <w:t>since th</w:t>
      </w:r>
      <w:r w:rsidR="0052554D" w:rsidRPr="59F485BF">
        <w:rPr>
          <w:rFonts w:ascii="Times New Roman" w:hAnsi="Times New Roman" w:cs="Times New Roman"/>
          <w:noProof/>
        </w:rPr>
        <w:t>ese are the</w:t>
      </w:r>
      <w:r w:rsidR="463D8AE3" w:rsidRPr="59F485BF">
        <w:rPr>
          <w:rFonts w:ascii="Times New Roman" w:hAnsi="Times New Roman" w:cs="Times New Roman"/>
          <w:noProof/>
        </w:rPr>
        <w:t xml:space="preserve"> </w:t>
      </w:r>
      <w:r w:rsidR="58795087" w:rsidRPr="59F485BF">
        <w:rPr>
          <w:rFonts w:ascii="Times New Roman" w:hAnsi="Times New Roman" w:cs="Times New Roman"/>
          <w:noProof/>
        </w:rPr>
        <w:t>goods for which free allocation is subject to the CBAM factor</w:t>
      </w:r>
      <w:r w:rsidR="690499C0" w:rsidRPr="59F485BF">
        <w:rPr>
          <w:rFonts w:ascii="Times New Roman" w:hAnsi="Times New Roman" w:cs="Times New Roman"/>
          <w:noProof/>
        </w:rPr>
        <w:t>.</w:t>
      </w:r>
      <w:r w:rsidR="00B1440E" w:rsidRPr="59F485BF">
        <w:rPr>
          <w:rFonts w:ascii="Times New Roman" w:hAnsi="Times New Roman" w:cs="Times New Roman"/>
          <w:noProof/>
        </w:rPr>
        <w:t xml:space="preserve"> </w:t>
      </w:r>
      <w:r w:rsidR="4840F095" w:rsidRPr="59F485BF">
        <w:rPr>
          <w:rFonts w:ascii="Times New Roman" w:hAnsi="Times New Roman" w:cs="Times New Roman"/>
          <w:noProof/>
        </w:rPr>
        <w:t xml:space="preserve">As </w:t>
      </w:r>
      <w:r w:rsidR="0052554D" w:rsidRPr="59F485BF">
        <w:rPr>
          <w:rFonts w:ascii="Times New Roman" w:hAnsi="Times New Roman" w:cs="Times New Roman"/>
          <w:noProof/>
        </w:rPr>
        <w:t xml:space="preserve">specified </w:t>
      </w:r>
      <w:r w:rsidR="4840F095" w:rsidRPr="59F485BF">
        <w:rPr>
          <w:rFonts w:ascii="Times New Roman" w:hAnsi="Times New Roman" w:cs="Times New Roman"/>
          <w:noProof/>
        </w:rPr>
        <w:t xml:space="preserve">above, all </w:t>
      </w:r>
      <w:r w:rsidR="160DB798" w:rsidRPr="59F485BF">
        <w:rPr>
          <w:rFonts w:ascii="Times New Roman" w:hAnsi="Times New Roman" w:cs="Times New Roman"/>
          <w:noProof/>
        </w:rPr>
        <w:t xml:space="preserve">listed </w:t>
      </w:r>
      <w:r w:rsidR="0052554D" w:rsidRPr="59F485BF">
        <w:rPr>
          <w:rFonts w:ascii="Times New Roman" w:hAnsi="Times New Roman" w:cs="Times New Roman"/>
          <w:noProof/>
        </w:rPr>
        <w:t xml:space="preserve">CBAM </w:t>
      </w:r>
      <w:r w:rsidR="160DB798" w:rsidRPr="59F485BF">
        <w:rPr>
          <w:rFonts w:ascii="Times New Roman" w:hAnsi="Times New Roman" w:cs="Times New Roman"/>
          <w:noProof/>
        </w:rPr>
        <w:t>goods have a</w:t>
      </w:r>
      <w:r w:rsidR="29DBBA31" w:rsidRPr="59F485BF">
        <w:rPr>
          <w:rFonts w:ascii="Times New Roman" w:hAnsi="Times New Roman" w:cs="Times New Roman"/>
          <w:noProof/>
        </w:rPr>
        <w:t xml:space="preserve"> </w:t>
      </w:r>
      <w:r w:rsidR="2D1A5416" w:rsidRPr="59F485BF">
        <w:rPr>
          <w:rFonts w:ascii="Times New Roman" w:hAnsi="Times New Roman" w:cs="Times New Roman"/>
          <w:noProof/>
        </w:rPr>
        <w:t>significantly</w:t>
      </w:r>
      <w:r w:rsidR="29DBBA31" w:rsidRPr="59F485BF">
        <w:rPr>
          <w:rFonts w:ascii="Times New Roman" w:hAnsi="Times New Roman" w:cs="Times New Roman"/>
          <w:noProof/>
        </w:rPr>
        <w:t xml:space="preserve"> high emission intensity.</w:t>
      </w:r>
      <w:r w:rsidR="03727459" w:rsidRPr="59F485BF">
        <w:rPr>
          <w:rFonts w:ascii="Times New Roman" w:hAnsi="Times New Roman" w:cs="Times New Roman"/>
          <w:noProof/>
        </w:rPr>
        <w:t xml:space="preserve"> </w:t>
      </w:r>
      <w:r w:rsidR="264948F2" w:rsidRPr="59F485BF">
        <w:rPr>
          <w:rFonts w:ascii="Times New Roman" w:eastAsia="Times New Roman" w:hAnsi="Times New Roman" w:cs="Times New Roman"/>
          <w:noProof/>
        </w:rPr>
        <w:t xml:space="preserve">To determine the </w:t>
      </w:r>
      <w:r>
        <w:rPr>
          <w:rFonts w:ascii="Times New Roman" w:eastAsia="Times New Roman" w:hAnsi="Times New Roman" w:cs="Times New Roman"/>
          <w:noProof/>
        </w:rPr>
        <w:t xml:space="preserve">goods which bear a high degree of risk of </w:t>
      </w:r>
      <w:r w:rsidR="264948F2" w:rsidRPr="59F485BF">
        <w:rPr>
          <w:rFonts w:ascii="Times New Roman" w:eastAsia="Times New Roman" w:hAnsi="Times New Roman" w:cs="Times New Roman"/>
          <w:noProof/>
        </w:rPr>
        <w:t>remaining carbon leakage</w:t>
      </w:r>
      <w:r>
        <w:rPr>
          <w:rFonts w:ascii="Times New Roman" w:eastAsia="Times New Roman" w:hAnsi="Times New Roman" w:cs="Times New Roman"/>
          <w:noProof/>
        </w:rPr>
        <w:t xml:space="preserve">, a meaningful </w:t>
      </w:r>
      <w:r>
        <w:rPr>
          <w:rFonts w:ascii="Times New Roman" w:hAnsi="Times New Roman" w:cs="Times New Roman"/>
          <w:noProof/>
          <w:lang w:val="en-IE"/>
        </w:rPr>
        <w:t>and objective indicator,</w:t>
      </w:r>
      <w:r>
        <w:rPr>
          <w:rFonts w:ascii="Times New Roman" w:eastAsia="Times New Roman" w:hAnsi="Times New Roman" w:cs="Times New Roman"/>
          <w:noProof/>
        </w:rPr>
        <w:t xml:space="preserve"> </w:t>
      </w:r>
      <w:r>
        <w:rPr>
          <w:rFonts w:ascii="Times New Roman" w:hAnsi="Times New Roman" w:cs="Times New Roman"/>
          <w:noProof/>
          <w:lang w:val="en-IE"/>
        </w:rPr>
        <w:t>called the “</w:t>
      </w:r>
      <w:r>
        <w:rPr>
          <w:rFonts w:ascii="Times New Roman" w:eastAsia="Times New Roman" w:hAnsi="Times New Roman" w:cs="Times New Roman"/>
          <w:noProof/>
        </w:rPr>
        <w:t>Temporary</w:t>
      </w:r>
      <w:r w:rsidR="264948F2" w:rsidRPr="59F485BF">
        <w:rPr>
          <w:rFonts w:ascii="Times New Roman" w:eastAsia="Times New Roman" w:hAnsi="Times New Roman" w:cs="Times New Roman"/>
          <w:noProof/>
        </w:rPr>
        <w:t xml:space="preserve"> Decarbonisation Fund Carbon Leakage (‘</w:t>
      </w:r>
      <w:r>
        <w:rPr>
          <w:rFonts w:ascii="Times New Roman" w:eastAsia="Times New Roman" w:hAnsi="Times New Roman" w:cs="Times New Roman"/>
          <w:noProof/>
        </w:rPr>
        <w:t>TDFCL’</w:t>
      </w:r>
      <w:r w:rsidR="264948F2" w:rsidRPr="59F485BF">
        <w:rPr>
          <w:rFonts w:ascii="Times New Roman" w:eastAsia="Times New Roman" w:hAnsi="Times New Roman" w:cs="Times New Roman"/>
          <w:noProof/>
        </w:rPr>
        <w:t>) indicator</w:t>
      </w:r>
      <w:r>
        <w:rPr>
          <w:rFonts w:ascii="Times New Roman" w:eastAsia="Times New Roman" w:hAnsi="Times New Roman" w:cs="Times New Roman"/>
          <w:noProof/>
        </w:rPr>
        <w:t>”,</w:t>
      </w:r>
      <w:r w:rsidR="264948F2" w:rsidRPr="59F485BF">
        <w:rPr>
          <w:rFonts w:ascii="Times New Roman" w:eastAsia="Times New Roman" w:hAnsi="Times New Roman" w:cs="Times New Roman"/>
          <w:noProof/>
        </w:rPr>
        <w:t xml:space="preserve"> is applied. Considering the volatility of trade data, an average of the three most recent years (2022-2024)</w:t>
      </w:r>
      <w:r>
        <w:rPr>
          <w:rFonts w:ascii="Times New Roman" w:eastAsia="Times New Roman" w:hAnsi="Times New Roman" w:cs="Times New Roman"/>
          <w:noProof/>
        </w:rPr>
        <w:t xml:space="preserve"> of PRODCOM data</w:t>
      </w:r>
      <w:r w:rsidR="264948F2" w:rsidRPr="59F485BF">
        <w:rPr>
          <w:rFonts w:ascii="Times New Roman" w:eastAsia="Times New Roman" w:hAnsi="Times New Roman" w:cs="Times New Roman"/>
          <w:noProof/>
        </w:rPr>
        <w:t xml:space="preserve"> is used. </w:t>
      </w:r>
    </w:p>
    <w:p w14:paraId="73FAEA34" w14:textId="5D382059" w:rsidR="001F09FF" w:rsidRPr="00BB239D" w:rsidRDefault="001F09FF" w:rsidP="001F09FF">
      <w:pPr>
        <w:spacing w:after="120"/>
        <w:jc w:val="both"/>
        <w:rPr>
          <w:rFonts w:ascii="Times New Roman" w:eastAsia="Times New Roman" w:hAnsi="Times New Roman" w:cs="Times New Roman"/>
          <w:noProof/>
          <w:color w:val="000000" w:themeColor="text1"/>
          <w:lang w:val="en-IE"/>
        </w:rPr>
      </w:pPr>
    </w:p>
    <w:p w14:paraId="7BF7C752" w14:textId="72921452" w:rsidR="001F09FF" w:rsidRPr="00BB239D" w:rsidRDefault="007D0F36" w:rsidP="001F09FF">
      <w:pPr>
        <w:spacing w:after="120"/>
        <w:jc w:val="both"/>
        <w:rPr>
          <w:rFonts w:ascii="Times New Roman" w:eastAsia="Times New Roman" w:hAnsi="Times New Roman" w:cs="Times New Roman"/>
          <w:noProof/>
          <w:lang w:val="en-IE"/>
        </w:rPr>
      </w:pPr>
      <w:r>
        <w:rPr>
          <w:rFonts w:ascii="Times New Roman" w:eastAsia="Times New Roman" w:hAnsi="Times New Roman" w:cs="Times New Roman"/>
          <w:noProof/>
          <w:lang w:val="en-IE"/>
        </w:rPr>
        <w:t>Trade intensity</w:t>
      </w:r>
      <w:r w:rsidR="00F93F26">
        <w:rPr>
          <w:rFonts w:ascii="Times New Roman" w:eastAsia="Times New Roman" w:hAnsi="Times New Roman" w:cs="Times New Roman"/>
          <w:noProof/>
          <w:lang w:val="en-IE"/>
        </w:rPr>
        <w:t xml:space="preserve"> data</w:t>
      </w:r>
      <w:r>
        <w:rPr>
          <w:rFonts w:ascii="Times New Roman" w:eastAsia="Times New Roman" w:hAnsi="Times New Roman" w:cs="Times New Roman"/>
          <w:noProof/>
          <w:lang w:val="en-IE"/>
        </w:rPr>
        <w:t xml:space="preserve"> with</w:t>
      </w:r>
      <w:r w:rsidR="641D594D" w:rsidRPr="00BB239D">
        <w:rPr>
          <w:rFonts w:ascii="Times New Roman" w:eastAsia="Times New Roman" w:hAnsi="Times New Roman" w:cs="Times New Roman"/>
          <w:noProof/>
          <w:lang w:val="en-IE"/>
        </w:rPr>
        <w:t xml:space="preserve"> Norway, Iceland, Liechtenstein (as part of the EU</w:t>
      </w:r>
      <w:r>
        <w:rPr>
          <w:rFonts w:ascii="Times New Roman" w:eastAsia="Times New Roman" w:hAnsi="Times New Roman" w:cs="Times New Roman"/>
          <w:noProof/>
          <w:lang w:val="en-IE"/>
        </w:rPr>
        <w:t xml:space="preserve"> </w:t>
      </w:r>
      <w:r w:rsidR="641D594D" w:rsidRPr="00BB239D">
        <w:rPr>
          <w:rFonts w:ascii="Times New Roman" w:eastAsia="Times New Roman" w:hAnsi="Times New Roman" w:cs="Times New Roman"/>
          <w:noProof/>
          <w:lang w:val="en-IE"/>
        </w:rPr>
        <w:t>ETS) and Switzerland (existing linking with the EU</w:t>
      </w:r>
      <w:r>
        <w:rPr>
          <w:rFonts w:ascii="Times New Roman" w:eastAsia="Times New Roman" w:hAnsi="Times New Roman" w:cs="Times New Roman"/>
          <w:noProof/>
          <w:lang w:val="en-IE"/>
        </w:rPr>
        <w:t xml:space="preserve"> </w:t>
      </w:r>
      <w:r w:rsidR="641D594D" w:rsidRPr="00BB239D">
        <w:rPr>
          <w:rFonts w:ascii="Times New Roman" w:eastAsia="Times New Roman" w:hAnsi="Times New Roman" w:cs="Times New Roman"/>
          <w:noProof/>
          <w:lang w:val="en-IE"/>
        </w:rPr>
        <w:t xml:space="preserve">ETS) are excluded </w:t>
      </w:r>
      <w:r w:rsidR="641D594D" w:rsidRPr="00BB239D" w:rsidDel="00BC1DAD">
        <w:rPr>
          <w:rFonts w:ascii="Times New Roman" w:eastAsia="Times New Roman" w:hAnsi="Times New Roman" w:cs="Times New Roman"/>
          <w:noProof/>
          <w:lang w:val="en-IE"/>
        </w:rPr>
        <w:t xml:space="preserve">from the calculation of the </w:t>
      </w:r>
      <w:r>
        <w:rPr>
          <w:rFonts w:ascii="Times New Roman" w:eastAsia="Times New Roman" w:hAnsi="Times New Roman" w:cs="Times New Roman"/>
          <w:noProof/>
          <w:lang w:val="en-IE"/>
        </w:rPr>
        <w:t>TDFCL</w:t>
      </w:r>
      <w:r w:rsidR="00C42D3D" w:rsidRPr="00BB239D" w:rsidDel="00BC1DAD">
        <w:rPr>
          <w:rFonts w:ascii="Times New Roman" w:eastAsia="Times New Roman" w:hAnsi="Times New Roman" w:cs="Times New Roman"/>
          <w:noProof/>
          <w:lang w:val="en-IE"/>
        </w:rPr>
        <w:t xml:space="preserve"> indicator</w:t>
      </w:r>
      <w:r w:rsidR="641D594D" w:rsidRPr="00BB239D" w:rsidDel="00BC1DAD">
        <w:rPr>
          <w:rFonts w:ascii="Times New Roman" w:eastAsia="Times New Roman" w:hAnsi="Times New Roman" w:cs="Times New Roman"/>
          <w:noProof/>
          <w:lang w:val="en-IE"/>
        </w:rPr>
        <w:t xml:space="preserve">. </w:t>
      </w:r>
      <w:r w:rsidR="641D594D" w:rsidRPr="358E59F9">
        <w:rPr>
          <w:rFonts w:ascii="Times New Roman" w:eastAsia="Times New Roman" w:hAnsi="Times New Roman" w:cs="Times New Roman"/>
          <w:noProof/>
          <w:lang w:val="en-IE"/>
        </w:rPr>
        <w:t>Since</w:t>
      </w:r>
      <w:r w:rsidR="641D594D" w:rsidRPr="00BB239D">
        <w:rPr>
          <w:rFonts w:ascii="Times New Roman" w:eastAsia="Times New Roman" w:hAnsi="Times New Roman" w:cs="Times New Roman"/>
          <w:noProof/>
          <w:lang w:val="en-IE"/>
        </w:rPr>
        <w:t xml:space="preserve"> </w:t>
      </w:r>
      <w:r w:rsidR="00A37697">
        <w:rPr>
          <w:rFonts w:ascii="Times New Roman" w:eastAsia="Times New Roman" w:hAnsi="Times New Roman" w:cs="Times New Roman"/>
          <w:noProof/>
          <w:lang w:val="en-IE"/>
        </w:rPr>
        <w:t xml:space="preserve">goods produced in </w:t>
      </w:r>
      <w:r w:rsidR="00A37697" w:rsidRPr="00BB239D">
        <w:rPr>
          <w:rFonts w:ascii="Times New Roman" w:eastAsia="Times New Roman" w:hAnsi="Times New Roman" w:cs="Times New Roman"/>
          <w:noProof/>
          <w:lang w:val="en-IE"/>
        </w:rPr>
        <w:t>th</w:t>
      </w:r>
      <w:r w:rsidR="00A37697">
        <w:rPr>
          <w:rFonts w:ascii="Times New Roman" w:eastAsia="Times New Roman" w:hAnsi="Times New Roman" w:cs="Times New Roman"/>
          <w:noProof/>
          <w:lang w:val="en-IE"/>
        </w:rPr>
        <w:t>ose jurisdictions</w:t>
      </w:r>
      <w:r w:rsidR="00A37697" w:rsidRPr="00BB239D">
        <w:rPr>
          <w:rFonts w:ascii="Times New Roman" w:eastAsia="Times New Roman" w:hAnsi="Times New Roman" w:cs="Times New Roman"/>
          <w:noProof/>
          <w:lang w:val="en-IE"/>
        </w:rPr>
        <w:t xml:space="preserve"> </w:t>
      </w:r>
      <w:r w:rsidR="00A37697">
        <w:rPr>
          <w:rFonts w:ascii="Times New Roman" w:eastAsia="Times New Roman" w:hAnsi="Times New Roman" w:cs="Times New Roman"/>
          <w:noProof/>
          <w:lang w:val="en-IE"/>
        </w:rPr>
        <w:t>are subject to</w:t>
      </w:r>
      <w:r w:rsidR="00A37697" w:rsidRPr="00BB239D">
        <w:rPr>
          <w:rFonts w:ascii="Times New Roman" w:eastAsia="Times New Roman" w:hAnsi="Times New Roman" w:cs="Times New Roman"/>
          <w:noProof/>
          <w:lang w:val="en-IE"/>
        </w:rPr>
        <w:t xml:space="preserve"> </w:t>
      </w:r>
      <w:r w:rsidR="58299F09" w:rsidRPr="00BB239D">
        <w:rPr>
          <w:rFonts w:ascii="Times New Roman" w:eastAsia="Times New Roman" w:hAnsi="Times New Roman" w:cs="Times New Roman"/>
          <w:noProof/>
          <w:lang w:val="en-IE"/>
        </w:rPr>
        <w:t>an eq</w:t>
      </w:r>
      <w:r w:rsidR="5A27362D" w:rsidRPr="00BB239D">
        <w:rPr>
          <w:rFonts w:ascii="Times New Roman" w:eastAsia="Times New Roman" w:hAnsi="Times New Roman" w:cs="Times New Roman"/>
          <w:noProof/>
          <w:lang w:val="en-IE"/>
        </w:rPr>
        <w:t>u</w:t>
      </w:r>
      <w:r w:rsidR="58299F09" w:rsidRPr="00BB239D">
        <w:rPr>
          <w:rFonts w:ascii="Times New Roman" w:eastAsia="Times New Roman" w:hAnsi="Times New Roman" w:cs="Times New Roman"/>
          <w:noProof/>
          <w:lang w:val="en-IE"/>
        </w:rPr>
        <w:t>ivalent</w:t>
      </w:r>
      <w:r w:rsidR="641D594D" w:rsidRPr="00BB239D">
        <w:rPr>
          <w:rFonts w:ascii="Times New Roman" w:eastAsia="Times New Roman" w:hAnsi="Times New Roman" w:cs="Times New Roman"/>
          <w:noProof/>
          <w:lang w:val="en-IE"/>
        </w:rPr>
        <w:t xml:space="preserve"> carbon price </w:t>
      </w:r>
      <w:r>
        <w:rPr>
          <w:rFonts w:ascii="Times New Roman" w:eastAsia="Times New Roman" w:hAnsi="Times New Roman" w:cs="Times New Roman"/>
          <w:noProof/>
          <w:lang w:val="en-IE"/>
        </w:rPr>
        <w:t>to</w:t>
      </w:r>
      <w:r w:rsidR="005B679D" w:rsidRPr="00BB239D">
        <w:rPr>
          <w:rFonts w:ascii="Times New Roman" w:eastAsia="Times New Roman" w:hAnsi="Times New Roman" w:cs="Times New Roman"/>
          <w:noProof/>
          <w:lang w:val="en-IE"/>
        </w:rPr>
        <w:t xml:space="preserve"> </w:t>
      </w:r>
      <w:r w:rsidR="1A46C9A2" w:rsidRPr="00BB239D">
        <w:rPr>
          <w:rFonts w:ascii="Times New Roman" w:eastAsia="Times New Roman" w:hAnsi="Times New Roman" w:cs="Times New Roman"/>
          <w:noProof/>
          <w:lang w:val="en-IE"/>
        </w:rPr>
        <w:t>that payable</w:t>
      </w:r>
      <w:r w:rsidR="641D594D" w:rsidRPr="00BB239D">
        <w:rPr>
          <w:rFonts w:ascii="Times New Roman" w:eastAsia="Times New Roman" w:hAnsi="Times New Roman" w:cs="Times New Roman"/>
          <w:noProof/>
          <w:lang w:val="en-IE"/>
        </w:rPr>
        <w:t xml:space="preserve"> in the EU,</w:t>
      </w:r>
      <w:r>
        <w:rPr>
          <w:rFonts w:ascii="Times New Roman" w:eastAsia="Times New Roman" w:hAnsi="Times New Roman" w:cs="Times New Roman"/>
          <w:noProof/>
          <w:lang w:val="en-IE"/>
        </w:rPr>
        <w:t xml:space="preserve"> and thus</w:t>
      </w:r>
      <w:r w:rsidR="000E1CA2">
        <w:rPr>
          <w:rFonts w:ascii="Times New Roman" w:eastAsia="Times New Roman" w:hAnsi="Times New Roman" w:cs="Times New Roman"/>
          <w:noProof/>
          <w:lang w:val="en-IE"/>
        </w:rPr>
        <w:t xml:space="preserve"> </w:t>
      </w:r>
      <w:r w:rsidR="641D594D" w:rsidRPr="00BB239D">
        <w:rPr>
          <w:rFonts w:ascii="Times New Roman" w:eastAsia="Times New Roman" w:hAnsi="Times New Roman" w:cs="Times New Roman"/>
          <w:noProof/>
          <w:lang w:val="en-IE"/>
        </w:rPr>
        <w:t>the production of goods traded with these countries</w:t>
      </w:r>
      <w:r w:rsidR="00C77736">
        <w:rPr>
          <w:rFonts w:ascii="Times New Roman" w:eastAsia="Times New Roman" w:hAnsi="Times New Roman" w:cs="Times New Roman"/>
          <w:noProof/>
          <w:lang w:val="en-IE"/>
        </w:rPr>
        <w:t xml:space="preserve"> does not give rise to a risk of carbon leakage</w:t>
      </w:r>
      <w:r w:rsidR="641D594D" w:rsidRPr="00BB239D">
        <w:rPr>
          <w:rFonts w:ascii="Times New Roman" w:eastAsia="Times New Roman" w:hAnsi="Times New Roman" w:cs="Times New Roman"/>
          <w:noProof/>
          <w:lang w:val="en-IE"/>
        </w:rPr>
        <w:t xml:space="preserve">. </w:t>
      </w:r>
      <w:r>
        <w:rPr>
          <w:rFonts w:ascii="Times New Roman" w:eastAsia="Times New Roman" w:hAnsi="Times New Roman" w:cs="Times New Roman"/>
          <w:noProof/>
          <w:lang w:val="en-IE"/>
        </w:rPr>
        <w:t xml:space="preserve">Trade intensity </w:t>
      </w:r>
      <w:r w:rsidR="00F93F26">
        <w:rPr>
          <w:rFonts w:ascii="Times New Roman" w:eastAsia="Times New Roman" w:hAnsi="Times New Roman" w:cs="Times New Roman"/>
          <w:noProof/>
          <w:lang w:val="en-IE"/>
        </w:rPr>
        <w:t xml:space="preserve">data </w:t>
      </w:r>
      <w:r>
        <w:rPr>
          <w:rFonts w:ascii="Times New Roman" w:eastAsia="Times New Roman" w:hAnsi="Times New Roman" w:cs="Times New Roman"/>
          <w:noProof/>
          <w:lang w:val="en-IE"/>
        </w:rPr>
        <w:t>with</w:t>
      </w:r>
      <w:r w:rsidRPr="00BB239D">
        <w:rPr>
          <w:rFonts w:ascii="Times New Roman" w:eastAsia="Times New Roman" w:hAnsi="Times New Roman" w:cs="Times New Roman"/>
          <w:noProof/>
          <w:lang w:val="en-IE"/>
        </w:rPr>
        <w:t xml:space="preserve"> </w:t>
      </w:r>
      <w:r w:rsidR="0AC5C1A1" w:rsidRPr="00BB239D">
        <w:rPr>
          <w:rFonts w:ascii="Times New Roman" w:eastAsia="Times New Roman" w:hAnsi="Times New Roman" w:cs="Times New Roman"/>
          <w:noProof/>
          <w:lang w:val="en-IE"/>
        </w:rPr>
        <w:t>the UK were</w:t>
      </w:r>
      <w:r w:rsidR="7D715889" w:rsidRPr="00BB239D">
        <w:rPr>
          <w:rFonts w:ascii="Times New Roman" w:eastAsia="Times New Roman" w:hAnsi="Times New Roman" w:cs="Times New Roman"/>
          <w:noProof/>
          <w:lang w:val="en-IE"/>
        </w:rPr>
        <w:t xml:space="preserve"> also</w:t>
      </w:r>
      <w:r w:rsidR="0AC5C1A1" w:rsidRPr="00BB239D">
        <w:rPr>
          <w:rFonts w:ascii="Times New Roman" w:eastAsia="Times New Roman" w:hAnsi="Times New Roman" w:cs="Times New Roman"/>
          <w:noProof/>
          <w:lang w:val="en-IE"/>
        </w:rPr>
        <w:t xml:space="preserve"> excluded</w:t>
      </w:r>
      <w:r w:rsidR="0AC5C1A1" w:rsidRPr="00BB239D" w:rsidDel="000E1CA2">
        <w:rPr>
          <w:rFonts w:ascii="Times New Roman" w:eastAsia="Times New Roman" w:hAnsi="Times New Roman" w:cs="Times New Roman"/>
          <w:noProof/>
          <w:lang w:val="en-IE"/>
        </w:rPr>
        <w:t xml:space="preserve"> from the calculation of the </w:t>
      </w:r>
      <w:r>
        <w:rPr>
          <w:rFonts w:ascii="Times New Roman" w:eastAsia="Times New Roman" w:hAnsi="Times New Roman" w:cs="Times New Roman"/>
          <w:noProof/>
          <w:lang w:val="en-IE"/>
        </w:rPr>
        <w:t>TDFCL</w:t>
      </w:r>
      <w:r w:rsidR="002C0363" w:rsidRPr="00BB239D" w:rsidDel="000E1CA2">
        <w:rPr>
          <w:rFonts w:ascii="Times New Roman" w:eastAsia="Times New Roman" w:hAnsi="Times New Roman" w:cs="Times New Roman"/>
          <w:noProof/>
          <w:lang w:val="en-IE"/>
        </w:rPr>
        <w:t xml:space="preserve"> indicator</w:t>
      </w:r>
      <w:r w:rsidR="791342D9" w:rsidRPr="00BB239D">
        <w:rPr>
          <w:rFonts w:ascii="Times New Roman" w:eastAsia="Times New Roman" w:hAnsi="Times New Roman" w:cs="Times New Roman"/>
          <w:noProof/>
          <w:lang w:val="en-IE"/>
        </w:rPr>
        <w:t xml:space="preserve">, </w:t>
      </w:r>
      <w:r w:rsidR="00E93FB6">
        <w:rPr>
          <w:rFonts w:ascii="Times New Roman" w:eastAsia="Times New Roman" w:hAnsi="Times New Roman" w:cs="Times New Roman"/>
          <w:noProof/>
          <w:lang w:val="en-IE"/>
        </w:rPr>
        <w:t>since</w:t>
      </w:r>
      <w:r w:rsidR="0338CE55" w:rsidRPr="00BB239D">
        <w:rPr>
          <w:rFonts w:ascii="Times New Roman" w:eastAsia="Times New Roman" w:hAnsi="Times New Roman" w:cs="Times New Roman"/>
          <w:noProof/>
          <w:lang w:val="en-IE"/>
        </w:rPr>
        <w:t xml:space="preserve"> </w:t>
      </w:r>
      <w:r w:rsidR="52C2C80D" w:rsidRPr="00BB239D">
        <w:rPr>
          <w:rFonts w:ascii="Times New Roman" w:eastAsia="Times New Roman" w:hAnsi="Times New Roman" w:cs="Times New Roman"/>
          <w:noProof/>
          <w:lang w:val="en-IE"/>
        </w:rPr>
        <w:t xml:space="preserve">carbon prices in the </w:t>
      </w:r>
      <w:r w:rsidR="1E66DE3A" w:rsidRPr="00BB239D">
        <w:rPr>
          <w:rFonts w:ascii="Times New Roman" w:eastAsia="Times New Roman" w:hAnsi="Times New Roman" w:cs="Times New Roman"/>
          <w:noProof/>
          <w:lang w:val="en-IE"/>
        </w:rPr>
        <w:t xml:space="preserve">UK ETS and EU </w:t>
      </w:r>
      <w:r w:rsidR="3DEABABC" w:rsidRPr="00BB239D">
        <w:rPr>
          <w:rFonts w:ascii="Times New Roman" w:eastAsia="Times New Roman" w:hAnsi="Times New Roman" w:cs="Times New Roman"/>
          <w:noProof/>
          <w:lang w:val="en-IE"/>
        </w:rPr>
        <w:t>ETS are</w:t>
      </w:r>
      <w:r w:rsidR="0AC5C1A1" w:rsidRPr="00BB239D">
        <w:rPr>
          <w:rFonts w:ascii="Times New Roman" w:eastAsia="Times New Roman" w:hAnsi="Times New Roman" w:cs="Times New Roman"/>
          <w:noProof/>
          <w:lang w:val="en-IE"/>
        </w:rPr>
        <w:t xml:space="preserve"> comparable</w:t>
      </w:r>
      <w:r w:rsidR="3DEABABC" w:rsidRPr="00BB239D">
        <w:rPr>
          <w:rFonts w:ascii="Times New Roman" w:eastAsia="Times New Roman" w:hAnsi="Times New Roman" w:cs="Times New Roman"/>
          <w:noProof/>
          <w:lang w:val="en-IE"/>
        </w:rPr>
        <w:t>,</w:t>
      </w:r>
      <w:r w:rsidR="0AC5C1A1" w:rsidRPr="00BB239D">
        <w:rPr>
          <w:rFonts w:ascii="Times New Roman" w:eastAsia="Times New Roman" w:hAnsi="Times New Roman" w:cs="Times New Roman"/>
          <w:noProof/>
          <w:lang w:val="en-IE"/>
        </w:rPr>
        <w:t xml:space="preserve"> and further converging in view of the political inten</w:t>
      </w:r>
      <w:r w:rsidR="00E709BD" w:rsidRPr="00BB239D">
        <w:rPr>
          <w:rFonts w:ascii="Times New Roman" w:eastAsia="Times New Roman" w:hAnsi="Times New Roman" w:cs="Times New Roman"/>
          <w:noProof/>
          <w:lang w:val="en-IE"/>
        </w:rPr>
        <w:t>tion</w:t>
      </w:r>
      <w:r w:rsidR="0AC5C1A1" w:rsidRPr="00BB239D">
        <w:rPr>
          <w:rFonts w:ascii="Times New Roman" w:eastAsia="Times New Roman" w:hAnsi="Times New Roman" w:cs="Times New Roman"/>
          <w:noProof/>
          <w:lang w:val="en-IE"/>
        </w:rPr>
        <w:t xml:space="preserve"> </w:t>
      </w:r>
      <w:r w:rsidR="004C5DF9" w:rsidRPr="00BB239D">
        <w:rPr>
          <w:rFonts w:ascii="Times New Roman" w:eastAsia="Times New Roman" w:hAnsi="Times New Roman" w:cs="Times New Roman"/>
          <w:noProof/>
          <w:lang w:val="en-IE"/>
        </w:rPr>
        <w:t>to</w:t>
      </w:r>
      <w:r w:rsidR="0AC5C1A1" w:rsidRPr="00BB239D">
        <w:rPr>
          <w:rFonts w:ascii="Times New Roman" w:eastAsia="Times New Roman" w:hAnsi="Times New Roman" w:cs="Times New Roman"/>
          <w:noProof/>
          <w:lang w:val="en-IE"/>
        </w:rPr>
        <w:t xml:space="preserve"> link the EU ETS </w:t>
      </w:r>
      <w:r w:rsidR="004C5DF9" w:rsidRPr="00BB239D">
        <w:rPr>
          <w:rFonts w:ascii="Times New Roman" w:eastAsia="Times New Roman" w:hAnsi="Times New Roman" w:cs="Times New Roman"/>
          <w:noProof/>
          <w:lang w:val="en-IE"/>
        </w:rPr>
        <w:t xml:space="preserve">and </w:t>
      </w:r>
      <w:r w:rsidR="0AC5C1A1" w:rsidRPr="00BB239D">
        <w:rPr>
          <w:rFonts w:ascii="Times New Roman" w:eastAsia="Times New Roman" w:hAnsi="Times New Roman" w:cs="Times New Roman"/>
          <w:noProof/>
          <w:lang w:val="en-IE"/>
        </w:rPr>
        <w:t>the UK ETS</w:t>
      </w:r>
      <w:r w:rsidR="6BE778AF" w:rsidRPr="00BB239D">
        <w:rPr>
          <w:rFonts w:ascii="Times New Roman" w:eastAsia="Times New Roman" w:hAnsi="Times New Roman" w:cs="Times New Roman"/>
          <w:noProof/>
          <w:lang w:val="en-IE"/>
        </w:rPr>
        <w:t xml:space="preserve"> (see figure </w:t>
      </w:r>
      <w:r w:rsidR="5E1AC70A" w:rsidRPr="00BB239D">
        <w:rPr>
          <w:rFonts w:ascii="Times New Roman" w:eastAsia="Times New Roman" w:hAnsi="Times New Roman" w:cs="Times New Roman"/>
          <w:noProof/>
          <w:lang w:val="en-IE"/>
        </w:rPr>
        <w:t>1</w:t>
      </w:r>
      <w:r w:rsidR="06EB3966" w:rsidRPr="00BB239D">
        <w:rPr>
          <w:rFonts w:ascii="Times New Roman" w:eastAsia="Times New Roman" w:hAnsi="Times New Roman" w:cs="Times New Roman"/>
          <w:noProof/>
          <w:lang w:val="en-IE"/>
        </w:rPr>
        <w:t>)</w:t>
      </w:r>
      <w:r w:rsidR="64212D85" w:rsidRPr="00BB239D">
        <w:rPr>
          <w:rFonts w:ascii="Times New Roman" w:eastAsia="Times New Roman" w:hAnsi="Times New Roman" w:cs="Times New Roman"/>
          <w:noProof/>
          <w:lang w:val="en-IE"/>
        </w:rPr>
        <w:t xml:space="preserve">. </w:t>
      </w:r>
      <w:r w:rsidR="00E93FB6">
        <w:rPr>
          <w:rFonts w:ascii="Times New Roman" w:eastAsia="Times New Roman" w:hAnsi="Times New Roman" w:cs="Times New Roman"/>
          <w:noProof/>
          <w:lang w:val="en-IE"/>
        </w:rPr>
        <w:t>Consequently,</w:t>
      </w:r>
      <w:r w:rsidR="00E93FB6" w:rsidRPr="00BB239D">
        <w:rPr>
          <w:rFonts w:ascii="Times New Roman" w:eastAsia="Times New Roman" w:hAnsi="Times New Roman" w:cs="Times New Roman"/>
          <w:noProof/>
          <w:lang w:val="en-IE"/>
        </w:rPr>
        <w:t xml:space="preserve"> the </w:t>
      </w:r>
      <w:r w:rsidR="00E93FB6" w:rsidRPr="00BB239D">
        <w:rPr>
          <w:rFonts w:ascii="Times New Roman" w:hAnsi="Times New Roman" w:cs="Times New Roman"/>
          <w:noProof/>
        </w:rPr>
        <w:t>remaining</w:t>
      </w:r>
      <w:r w:rsidR="00E93FB6" w:rsidRPr="00BB239D">
        <w:rPr>
          <w:rFonts w:ascii="Times New Roman" w:eastAsia="Times New Roman" w:hAnsi="Times New Roman" w:cs="Times New Roman"/>
          <w:noProof/>
          <w:lang w:val="en-IE"/>
        </w:rPr>
        <w:t xml:space="preserve"> carbon leakage risk on the UK market is expected to be very limited. </w:t>
      </w:r>
    </w:p>
    <w:p w14:paraId="68F9F39F" w14:textId="5DE2D587" w:rsidR="00EA700A" w:rsidRDefault="00DF6F92" w:rsidP="007B2E2A">
      <w:pPr>
        <w:pStyle w:val="Caption"/>
        <w:keepNext/>
        <w:jc w:val="both"/>
        <w:rPr>
          <w:noProof/>
        </w:rPr>
      </w:pPr>
      <w:r>
        <w:rPr>
          <w:noProof/>
        </w:rPr>
        <w:t>Figure</w:t>
      </w:r>
      <w:r w:rsidR="00EA700A">
        <w:rPr>
          <w:noProof/>
        </w:rPr>
        <w:t xml:space="preserve"> </w:t>
      </w:r>
      <w:r w:rsidR="00EA700A">
        <w:rPr>
          <w:noProof/>
        </w:rPr>
        <w:fldChar w:fldCharType="begin"/>
      </w:r>
      <w:r w:rsidR="00EA700A">
        <w:rPr>
          <w:noProof/>
        </w:rPr>
        <w:instrText xml:space="preserve"> SEQ Table \* ARABIC </w:instrText>
      </w:r>
      <w:r w:rsidR="00EA700A">
        <w:rPr>
          <w:noProof/>
        </w:rPr>
        <w:fldChar w:fldCharType="separate"/>
      </w:r>
      <w:r w:rsidR="00634003">
        <w:rPr>
          <w:noProof/>
        </w:rPr>
        <w:t>1</w:t>
      </w:r>
      <w:r w:rsidR="00EA700A">
        <w:rPr>
          <w:noProof/>
        </w:rPr>
        <w:fldChar w:fldCharType="end"/>
      </w:r>
      <w:r w:rsidR="00EA700A">
        <w:rPr>
          <w:noProof/>
        </w:rPr>
        <w:t xml:space="preserve"> comparsion of the UK ETS and EU ETS carbon prices (November 2024 - December 2025). Source: International Cabon Action Partnership (ICAP) Allowance Price Explorer, accessed on 4 November 2025.</w:t>
      </w:r>
    </w:p>
    <w:p w14:paraId="4192A828" w14:textId="62D65465" w:rsidR="00A31EC3" w:rsidRDefault="00EA700A" w:rsidP="001F09FF">
      <w:pPr>
        <w:spacing w:after="120"/>
        <w:jc w:val="both"/>
        <w:rPr>
          <w:rFonts w:ascii="Times New Roman" w:eastAsia="Times New Roman" w:hAnsi="Times New Roman" w:cs="Times New Roman"/>
          <w:noProof/>
        </w:rPr>
      </w:pPr>
      <w:r>
        <w:rPr>
          <w:rFonts w:ascii="Times New Roman" w:eastAsia="Times New Roman" w:hAnsi="Times New Roman" w:cs="Times New Roman"/>
          <w:noProof/>
          <w:lang w:eastAsia="en-GB"/>
        </w:rPr>
        <w:drawing>
          <wp:inline distT="0" distB="0" distL="0" distR="0" wp14:anchorId="01B7BF0B" wp14:editId="4A5FB499">
            <wp:extent cx="5623133" cy="3181058"/>
            <wp:effectExtent l="0" t="0" r="0" b="635"/>
            <wp:docPr id="149219429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38337" cy="3189659"/>
                    </a:xfrm>
                    <a:prstGeom prst="rect">
                      <a:avLst/>
                    </a:prstGeom>
                    <a:noFill/>
                    <a:ln>
                      <a:noFill/>
                    </a:ln>
                  </pic:spPr>
                </pic:pic>
              </a:graphicData>
            </a:graphic>
          </wp:inline>
        </w:drawing>
      </w:r>
    </w:p>
    <w:p w14:paraId="63A3465E" w14:textId="77777777" w:rsidR="001C1632" w:rsidRPr="00B65AD9" w:rsidRDefault="001C1632" w:rsidP="001F09FF">
      <w:pPr>
        <w:spacing w:after="120"/>
        <w:jc w:val="both"/>
        <w:rPr>
          <w:rFonts w:ascii="Times New Roman" w:eastAsia="Times New Roman" w:hAnsi="Times New Roman" w:cs="Times New Roman"/>
          <w:noProof/>
        </w:rPr>
      </w:pPr>
    </w:p>
    <w:p w14:paraId="7523A766" w14:textId="77C9365A" w:rsidR="00392E6D" w:rsidRDefault="005C050D" w:rsidP="0042793A">
      <w:pPr>
        <w:pStyle w:val="Heading2"/>
        <w:numPr>
          <w:ilvl w:val="1"/>
          <w:numId w:val="2"/>
        </w:numPr>
        <w:spacing w:after="240" w:line="240" w:lineRule="auto"/>
        <w:ind w:hanging="360"/>
        <w:jc w:val="both"/>
        <w:rPr>
          <w:rFonts w:ascii="Times New Roman" w:eastAsia="Times New Roman" w:hAnsi="Times New Roman" w:cs="Times New Roman"/>
          <w:noProof/>
          <w:lang w:val="en-IE"/>
        </w:rPr>
      </w:pPr>
      <w:bookmarkStart w:id="23" w:name="_Toc224218962"/>
      <w:bookmarkStart w:id="24" w:name="_Toc214972107"/>
      <w:r>
        <w:rPr>
          <w:rFonts w:ascii="Times New Roman" w:eastAsia="Times New Roman" w:hAnsi="Times New Roman" w:cs="Times New Roman"/>
          <w:noProof/>
          <w:lang w:val="en-IE"/>
        </w:rPr>
        <w:t xml:space="preserve">Preferred </w:t>
      </w:r>
      <w:r w:rsidR="00392E6D">
        <w:rPr>
          <w:rFonts w:ascii="Times New Roman" w:eastAsia="Times New Roman" w:hAnsi="Times New Roman" w:cs="Times New Roman"/>
          <w:noProof/>
          <w:lang w:val="en-IE"/>
        </w:rPr>
        <w:t>option</w:t>
      </w:r>
      <w:r w:rsidR="00A143CB">
        <w:rPr>
          <w:rFonts w:ascii="Times New Roman" w:eastAsia="Times New Roman" w:hAnsi="Times New Roman" w:cs="Times New Roman"/>
          <w:noProof/>
          <w:lang w:val="en-IE"/>
        </w:rPr>
        <w:t xml:space="preserve"> to determin</w:t>
      </w:r>
      <w:r w:rsidR="00E70B53">
        <w:rPr>
          <w:rFonts w:ascii="Times New Roman" w:eastAsia="Times New Roman" w:hAnsi="Times New Roman" w:cs="Times New Roman"/>
          <w:noProof/>
          <w:lang w:val="en-IE"/>
        </w:rPr>
        <w:t>e</w:t>
      </w:r>
      <w:r w:rsidR="00A143CB">
        <w:rPr>
          <w:rFonts w:ascii="Times New Roman" w:eastAsia="Times New Roman" w:hAnsi="Times New Roman" w:cs="Times New Roman"/>
          <w:noProof/>
          <w:lang w:val="en-IE"/>
        </w:rPr>
        <w:t xml:space="preserve"> eligibility </w:t>
      </w:r>
      <w:r w:rsidR="00392E6D">
        <w:rPr>
          <w:rFonts w:ascii="Times New Roman" w:eastAsia="Times New Roman" w:hAnsi="Times New Roman" w:cs="Times New Roman"/>
          <w:noProof/>
          <w:lang w:val="en-IE"/>
        </w:rPr>
        <w:t>of goods for the measure</w:t>
      </w:r>
      <w:bookmarkEnd w:id="23"/>
      <w:bookmarkEnd w:id="24"/>
    </w:p>
    <w:p w14:paraId="62052ED7" w14:textId="00BD4B97" w:rsidR="00250BAA" w:rsidRDefault="27F949DA" w:rsidP="00250BAA">
      <w:pPr>
        <w:spacing w:after="120"/>
        <w:jc w:val="both"/>
        <w:rPr>
          <w:rFonts w:ascii="Times New Roman" w:eastAsia="Times New Roman" w:hAnsi="Times New Roman" w:cs="Times New Roman"/>
          <w:b/>
          <w:bCs/>
          <w:noProof/>
          <w:color w:val="000000" w:themeColor="text1"/>
          <w:lang w:val="en-IE"/>
        </w:rPr>
      </w:pPr>
      <w:r w:rsidRPr="00BB239D">
        <w:rPr>
          <w:rFonts w:ascii="Times New Roman" w:hAnsi="Times New Roman" w:cs="Times New Roman"/>
          <w:noProof/>
        </w:rPr>
        <w:t xml:space="preserve">The intention of the </w:t>
      </w:r>
      <w:r w:rsidR="6CE4D067" w:rsidRPr="00BB239D">
        <w:rPr>
          <w:rFonts w:ascii="Times New Roman" w:hAnsi="Times New Roman" w:cs="Times New Roman"/>
          <w:noProof/>
        </w:rPr>
        <w:t>proposed temporary decarbonisation</w:t>
      </w:r>
      <w:r w:rsidRPr="00BB239D">
        <w:rPr>
          <w:rFonts w:ascii="Times New Roman" w:hAnsi="Times New Roman" w:cs="Times New Roman"/>
          <w:noProof/>
        </w:rPr>
        <w:t xml:space="preserve"> fund is to provide </w:t>
      </w:r>
      <w:r w:rsidR="0F98F4D5" w:rsidRPr="00BB239D">
        <w:rPr>
          <w:rFonts w:ascii="Times New Roman" w:hAnsi="Times New Roman" w:cs="Times New Roman"/>
          <w:noProof/>
        </w:rPr>
        <w:t xml:space="preserve">effective </w:t>
      </w:r>
      <w:r w:rsidR="6CE4D067" w:rsidRPr="00BB239D">
        <w:rPr>
          <w:rFonts w:ascii="Times New Roman" w:hAnsi="Times New Roman" w:cs="Times New Roman"/>
          <w:noProof/>
        </w:rPr>
        <w:t xml:space="preserve">investment support </w:t>
      </w:r>
      <w:r w:rsidR="00A57CE7">
        <w:rPr>
          <w:rFonts w:ascii="Times New Roman" w:hAnsi="Times New Roman" w:cs="Times New Roman"/>
          <w:noProof/>
        </w:rPr>
        <w:t xml:space="preserve">for decarbonisation </w:t>
      </w:r>
      <w:r w:rsidR="0F98F4D5" w:rsidRPr="00BB239D">
        <w:rPr>
          <w:rFonts w:ascii="Times New Roman" w:hAnsi="Times New Roman" w:cs="Times New Roman"/>
          <w:noProof/>
        </w:rPr>
        <w:t xml:space="preserve">to operators </w:t>
      </w:r>
      <w:r w:rsidR="7ED3F169" w:rsidRPr="00BB239D">
        <w:rPr>
          <w:rFonts w:ascii="Times New Roman" w:hAnsi="Times New Roman" w:cs="Times New Roman"/>
          <w:noProof/>
        </w:rPr>
        <w:t xml:space="preserve">producing </w:t>
      </w:r>
      <w:r w:rsidR="0F98F4D5" w:rsidRPr="00BB239D">
        <w:rPr>
          <w:rFonts w:ascii="Times New Roman" w:hAnsi="Times New Roman" w:cs="Times New Roman"/>
          <w:noProof/>
        </w:rPr>
        <w:t xml:space="preserve">goods </w:t>
      </w:r>
      <w:r w:rsidR="00A57CE7">
        <w:rPr>
          <w:rFonts w:ascii="Times New Roman" w:hAnsi="Times New Roman" w:cs="Times New Roman"/>
          <w:noProof/>
        </w:rPr>
        <w:t>for</w:t>
      </w:r>
      <w:r w:rsidR="01452871" w:rsidRPr="00BB239D">
        <w:rPr>
          <w:rFonts w:ascii="Times New Roman" w:hAnsi="Times New Roman" w:cs="Times New Roman"/>
          <w:noProof/>
        </w:rPr>
        <w:t xml:space="preserve"> which the</w:t>
      </w:r>
      <w:r w:rsidR="69412609" w:rsidRPr="00BB239D">
        <w:rPr>
          <w:rFonts w:ascii="Times New Roman" w:hAnsi="Times New Roman" w:cs="Times New Roman"/>
          <w:noProof/>
        </w:rPr>
        <w:t xml:space="preserve"> </w:t>
      </w:r>
      <w:r w:rsidR="007E6C78" w:rsidRPr="00BB239D">
        <w:rPr>
          <w:rFonts w:ascii="Times New Roman" w:hAnsi="Times New Roman" w:cs="Times New Roman"/>
          <w:noProof/>
        </w:rPr>
        <w:t xml:space="preserve">remaining </w:t>
      </w:r>
      <w:r w:rsidR="69412609" w:rsidRPr="00BB239D">
        <w:rPr>
          <w:rFonts w:ascii="Times New Roman" w:hAnsi="Times New Roman" w:cs="Times New Roman"/>
          <w:noProof/>
        </w:rPr>
        <w:t>carbon leakage risk</w:t>
      </w:r>
      <w:r w:rsidR="003917FB" w:rsidRPr="00BB239D">
        <w:rPr>
          <w:rFonts w:ascii="Times New Roman" w:hAnsi="Times New Roman" w:cs="Times New Roman"/>
          <w:noProof/>
        </w:rPr>
        <w:t>s</w:t>
      </w:r>
      <w:r w:rsidR="4184C98F" w:rsidRPr="00BB239D">
        <w:rPr>
          <w:rFonts w:ascii="Times New Roman" w:hAnsi="Times New Roman" w:cs="Times New Roman"/>
          <w:noProof/>
        </w:rPr>
        <w:t xml:space="preserve"> are the highest</w:t>
      </w:r>
      <w:r w:rsidR="69412609" w:rsidRPr="00BB239D">
        <w:rPr>
          <w:rFonts w:ascii="Times New Roman" w:hAnsi="Times New Roman" w:cs="Times New Roman"/>
          <w:noProof/>
        </w:rPr>
        <w:t>, while respecting</w:t>
      </w:r>
      <w:r w:rsidR="194D4697" w:rsidRPr="00BB239D">
        <w:rPr>
          <w:rFonts w:ascii="Times New Roman" w:hAnsi="Times New Roman" w:cs="Times New Roman"/>
          <w:noProof/>
        </w:rPr>
        <w:t xml:space="preserve"> the limited budget available and </w:t>
      </w:r>
      <w:r w:rsidR="7A7E55A2" w:rsidRPr="00BB239D">
        <w:rPr>
          <w:rFonts w:ascii="Times New Roman" w:hAnsi="Times New Roman" w:cs="Times New Roman"/>
          <w:noProof/>
        </w:rPr>
        <w:t>avoiding the creation of potential market distortions.</w:t>
      </w:r>
      <w:r w:rsidR="001838C4" w:rsidRPr="00BB239D">
        <w:rPr>
          <w:rStyle w:val="FootnoteReference"/>
          <w:rFonts w:ascii="Times New Roman" w:hAnsi="Times New Roman" w:cs="Times New Roman"/>
          <w:noProof/>
        </w:rPr>
        <w:footnoteReference w:id="10"/>
      </w:r>
      <w:r w:rsidR="7A7E55A2" w:rsidRPr="00BB239D">
        <w:rPr>
          <w:rFonts w:ascii="Times New Roman" w:hAnsi="Times New Roman" w:cs="Times New Roman"/>
          <w:noProof/>
        </w:rPr>
        <w:t xml:space="preserve"> </w:t>
      </w:r>
      <w:r w:rsidR="4B8CA241" w:rsidRPr="00BB239D">
        <w:rPr>
          <w:rFonts w:ascii="Times New Roman" w:hAnsi="Times New Roman" w:cs="Times New Roman"/>
          <w:noProof/>
        </w:rPr>
        <w:t xml:space="preserve">A </w:t>
      </w:r>
      <w:r w:rsidR="0CCFE0FA" w:rsidRPr="00BB239D">
        <w:rPr>
          <w:rFonts w:ascii="Times New Roman" w:hAnsi="Times New Roman" w:cs="Times New Roman"/>
          <w:noProof/>
        </w:rPr>
        <w:t xml:space="preserve">meaningful eligibility threshold </w:t>
      </w:r>
      <w:r w:rsidR="7D890E1F" w:rsidRPr="00BB239D">
        <w:rPr>
          <w:rFonts w:ascii="Times New Roman" w:hAnsi="Times New Roman" w:cs="Times New Roman"/>
          <w:noProof/>
        </w:rPr>
        <w:t>is needed to</w:t>
      </w:r>
      <w:r w:rsidR="75F9BD70" w:rsidRPr="00BB239D">
        <w:rPr>
          <w:rFonts w:ascii="Times New Roman" w:hAnsi="Times New Roman" w:cs="Times New Roman"/>
          <w:noProof/>
        </w:rPr>
        <w:t xml:space="preserve"> </w:t>
      </w:r>
      <w:r w:rsidR="2CD3D23A" w:rsidRPr="00BB239D">
        <w:rPr>
          <w:rFonts w:ascii="Times New Roman" w:hAnsi="Times New Roman" w:cs="Times New Roman"/>
          <w:noProof/>
        </w:rPr>
        <w:t xml:space="preserve">identify the </w:t>
      </w:r>
      <w:r w:rsidR="406692EF" w:rsidRPr="00BB239D">
        <w:rPr>
          <w:rFonts w:ascii="Times New Roman" w:hAnsi="Times New Roman" w:cs="Times New Roman"/>
          <w:noProof/>
        </w:rPr>
        <w:t xml:space="preserve">goods </w:t>
      </w:r>
      <w:r w:rsidR="00F55FDC" w:rsidRPr="00BB239D">
        <w:rPr>
          <w:rFonts w:ascii="Times New Roman" w:hAnsi="Times New Roman" w:cs="Times New Roman"/>
          <w:noProof/>
        </w:rPr>
        <w:t>which bear</w:t>
      </w:r>
      <w:r w:rsidR="406692EF" w:rsidRPr="00BB239D">
        <w:rPr>
          <w:rFonts w:ascii="Times New Roman" w:hAnsi="Times New Roman" w:cs="Times New Roman"/>
          <w:noProof/>
        </w:rPr>
        <w:t xml:space="preserve"> </w:t>
      </w:r>
      <w:r w:rsidR="63E7F485" w:rsidRPr="00BB239D">
        <w:rPr>
          <w:rFonts w:ascii="Times New Roman" w:hAnsi="Times New Roman" w:cs="Times New Roman"/>
          <w:noProof/>
        </w:rPr>
        <w:t>a high degree of risk of</w:t>
      </w:r>
      <w:r w:rsidR="00CC07B6" w:rsidRPr="00BB239D">
        <w:rPr>
          <w:rFonts w:ascii="Times New Roman" w:hAnsi="Times New Roman" w:cs="Times New Roman"/>
          <w:noProof/>
        </w:rPr>
        <w:t xml:space="preserve"> remaining</w:t>
      </w:r>
      <w:r w:rsidR="406692EF" w:rsidRPr="00BB239D">
        <w:rPr>
          <w:rFonts w:ascii="Times New Roman" w:hAnsi="Times New Roman" w:cs="Times New Roman"/>
          <w:noProof/>
        </w:rPr>
        <w:t xml:space="preserve"> carbon leakage.</w:t>
      </w:r>
      <w:r w:rsidR="61886A87" w:rsidRPr="00BB239D">
        <w:rPr>
          <w:rFonts w:ascii="Times New Roman" w:hAnsi="Times New Roman" w:cs="Times New Roman"/>
          <w:noProof/>
        </w:rPr>
        <w:t xml:space="preserve"> Operators of </w:t>
      </w:r>
      <w:r w:rsidR="2DFAEEA9" w:rsidRPr="00BB239D">
        <w:rPr>
          <w:rFonts w:ascii="Times New Roman" w:hAnsi="Times New Roman" w:cs="Times New Roman"/>
          <w:noProof/>
        </w:rPr>
        <w:t xml:space="preserve">installations producing eligible goods </w:t>
      </w:r>
      <w:r>
        <w:rPr>
          <w:rFonts w:ascii="Times New Roman" w:hAnsi="Times New Roman" w:cs="Times New Roman"/>
          <w:noProof/>
        </w:rPr>
        <w:t>may</w:t>
      </w:r>
      <w:r w:rsidR="15BB86D7" w:rsidRPr="00BB239D">
        <w:rPr>
          <w:rFonts w:ascii="Times New Roman" w:hAnsi="Times New Roman" w:cs="Times New Roman"/>
          <w:noProof/>
        </w:rPr>
        <w:t xml:space="preserve">, conditional </w:t>
      </w:r>
      <w:r w:rsidR="795CA835" w:rsidRPr="00BB239D">
        <w:rPr>
          <w:rFonts w:ascii="Times New Roman" w:hAnsi="Times New Roman" w:cs="Times New Roman"/>
          <w:noProof/>
        </w:rPr>
        <w:t xml:space="preserve">to </w:t>
      </w:r>
      <w:r w:rsidR="48DC946B" w:rsidRPr="00BB239D">
        <w:rPr>
          <w:rFonts w:ascii="Times New Roman" w:hAnsi="Times New Roman" w:cs="Times New Roman"/>
          <w:noProof/>
        </w:rPr>
        <w:t xml:space="preserve">meeting </w:t>
      </w:r>
      <w:r w:rsidR="795CA835" w:rsidRPr="00BB239D">
        <w:rPr>
          <w:rFonts w:ascii="Times New Roman" w:hAnsi="Times New Roman" w:cs="Times New Roman"/>
          <w:noProof/>
        </w:rPr>
        <w:t xml:space="preserve">decarbonisation requirements, receive </w:t>
      </w:r>
      <w:r>
        <w:rPr>
          <w:rFonts w:ascii="Times New Roman" w:hAnsi="Times New Roman" w:cs="Times New Roman"/>
          <w:noProof/>
        </w:rPr>
        <w:t>financial support based on the amount</w:t>
      </w:r>
      <w:r w:rsidR="006F1B28">
        <w:rPr>
          <w:rFonts w:ascii="Times New Roman" w:hAnsi="Times New Roman" w:cs="Times New Roman"/>
          <w:noProof/>
        </w:rPr>
        <w:t xml:space="preserve"> </w:t>
      </w:r>
      <w:r w:rsidR="7B292890" w:rsidRPr="00BB239D">
        <w:rPr>
          <w:rFonts w:ascii="Times New Roman" w:hAnsi="Times New Roman" w:cs="Times New Roman"/>
          <w:noProof/>
        </w:rPr>
        <w:t xml:space="preserve">of </w:t>
      </w:r>
      <w:r w:rsidR="0A1AFEFD" w:rsidRPr="00BB239D">
        <w:rPr>
          <w:rFonts w:ascii="Times New Roman" w:hAnsi="Times New Roman" w:cs="Times New Roman"/>
          <w:noProof/>
        </w:rPr>
        <w:t xml:space="preserve">free allowances </w:t>
      </w:r>
      <w:r>
        <w:rPr>
          <w:rFonts w:ascii="Times New Roman" w:hAnsi="Times New Roman" w:cs="Times New Roman"/>
          <w:noProof/>
        </w:rPr>
        <w:t>phased out</w:t>
      </w:r>
      <w:r w:rsidR="006F1B28">
        <w:rPr>
          <w:rFonts w:ascii="Times New Roman" w:hAnsi="Times New Roman" w:cs="Times New Roman"/>
          <w:noProof/>
        </w:rPr>
        <w:t xml:space="preserve"> </w:t>
      </w:r>
      <w:r w:rsidR="62F63CF1" w:rsidRPr="00BB239D">
        <w:rPr>
          <w:rFonts w:ascii="Times New Roman" w:hAnsi="Times New Roman" w:cs="Times New Roman"/>
          <w:noProof/>
        </w:rPr>
        <w:t xml:space="preserve">due to the application of the CBAM factor </w:t>
      </w:r>
      <w:r w:rsidR="59A6278F" w:rsidRPr="00BB239D">
        <w:rPr>
          <w:rFonts w:ascii="Times New Roman" w:hAnsi="Times New Roman" w:cs="Times New Roman"/>
          <w:noProof/>
        </w:rPr>
        <w:t xml:space="preserve">as defined in </w:t>
      </w:r>
      <w:r w:rsidR="1A067913" w:rsidRPr="00BB239D">
        <w:rPr>
          <w:rFonts w:ascii="Times New Roman" w:hAnsi="Times New Roman" w:cs="Times New Roman"/>
          <w:noProof/>
        </w:rPr>
        <w:t xml:space="preserve">Article </w:t>
      </w:r>
      <w:r w:rsidR="7DE37212" w:rsidRPr="00BB239D">
        <w:rPr>
          <w:rFonts w:ascii="Times New Roman" w:hAnsi="Times New Roman" w:cs="Times New Roman"/>
          <w:noProof/>
        </w:rPr>
        <w:t xml:space="preserve">10a(1) </w:t>
      </w:r>
      <w:r w:rsidR="001B4884" w:rsidRPr="00BB239D">
        <w:rPr>
          <w:rStyle w:val="FootnoteReference"/>
          <w:rFonts w:ascii="Times New Roman" w:hAnsi="Times New Roman" w:cs="Times New Roman"/>
          <w:noProof/>
        </w:rPr>
        <w:footnoteReference w:id="11"/>
      </w:r>
      <w:r w:rsidR="2A728500" w:rsidRPr="00BB239D">
        <w:rPr>
          <w:rFonts w:ascii="Times New Roman" w:hAnsi="Times New Roman" w:cs="Times New Roman"/>
          <w:noProof/>
        </w:rPr>
        <w:t>.</w:t>
      </w:r>
    </w:p>
    <w:p w14:paraId="79099A85" w14:textId="77777777" w:rsidR="0045284A" w:rsidRDefault="00D717F5" w:rsidP="007E0E72">
      <w:pPr>
        <w:spacing w:after="120"/>
        <w:jc w:val="both"/>
        <w:rPr>
          <w:rFonts w:ascii="Times New Roman" w:eastAsia="Times New Roman" w:hAnsi="Times New Roman" w:cs="Times New Roman"/>
          <w:b/>
          <w:bCs/>
          <w:noProof/>
          <w:color w:val="000000" w:themeColor="text1"/>
          <w:lang w:val="en-IE"/>
        </w:rPr>
      </w:pPr>
      <w:r w:rsidRPr="00BB239D">
        <w:rPr>
          <w:rFonts w:ascii="Times New Roman" w:eastAsia="Times New Roman" w:hAnsi="Times New Roman" w:cs="Times New Roman"/>
          <w:noProof/>
          <w:color w:val="000000" w:themeColor="text1"/>
          <w:lang w:val="en-IE"/>
        </w:rPr>
        <w:t xml:space="preserve">Assuming that </w:t>
      </w:r>
      <w:r w:rsidR="00EF4B10" w:rsidRPr="00BB239D">
        <w:rPr>
          <w:rFonts w:ascii="Times New Roman" w:eastAsia="Times New Roman" w:hAnsi="Times New Roman" w:cs="Times New Roman"/>
          <w:noProof/>
          <w:color w:val="000000" w:themeColor="text1"/>
          <w:lang w:val="en-IE"/>
        </w:rPr>
        <w:t xml:space="preserve">the equivalent of </w:t>
      </w:r>
      <w:r w:rsidRPr="00BB239D">
        <w:rPr>
          <w:rFonts w:ascii="Times New Roman" w:eastAsia="Times New Roman" w:hAnsi="Times New Roman" w:cs="Times New Roman"/>
          <w:noProof/>
          <w:color w:val="000000" w:themeColor="text1"/>
          <w:lang w:val="en-IE"/>
        </w:rPr>
        <w:t>25% of the CBAM revenues will be available, we estimate the maximum available budget to be around EUR </w:t>
      </w:r>
      <w:r w:rsidR="6B93FF87" w:rsidRPr="00BB239D">
        <w:rPr>
          <w:rFonts w:ascii="Times New Roman" w:eastAsia="Times New Roman" w:hAnsi="Times New Roman" w:cs="Times New Roman"/>
          <w:noProof/>
          <w:color w:val="000000" w:themeColor="text1"/>
          <w:lang w:val="en-IE"/>
        </w:rPr>
        <w:t>632</w:t>
      </w:r>
      <w:r w:rsidRPr="00BB239D">
        <w:rPr>
          <w:rFonts w:ascii="Times New Roman" w:eastAsia="Times New Roman" w:hAnsi="Times New Roman" w:cs="Times New Roman"/>
          <w:noProof/>
          <w:color w:val="000000" w:themeColor="text1"/>
          <w:lang w:val="en-IE"/>
        </w:rPr>
        <w:t xml:space="preserve"> </w:t>
      </w:r>
      <w:r w:rsidR="6B93FF87" w:rsidRPr="00BB239D">
        <w:rPr>
          <w:rFonts w:ascii="Times New Roman" w:eastAsia="Times New Roman" w:hAnsi="Times New Roman" w:cs="Times New Roman"/>
          <w:noProof/>
          <w:color w:val="000000" w:themeColor="text1"/>
          <w:lang w:val="en-IE"/>
        </w:rPr>
        <w:t>m</w:t>
      </w:r>
      <w:r w:rsidRPr="00BB239D">
        <w:rPr>
          <w:rFonts w:ascii="Times New Roman" w:eastAsia="Times New Roman" w:hAnsi="Times New Roman" w:cs="Times New Roman"/>
          <w:noProof/>
          <w:color w:val="000000" w:themeColor="text1"/>
          <w:lang w:val="en-IE"/>
        </w:rPr>
        <w:t xml:space="preserve">illion, </w:t>
      </w:r>
      <w:r w:rsidR="7A8AD65D" w:rsidRPr="00BB239D">
        <w:rPr>
          <w:rFonts w:ascii="Times New Roman" w:eastAsia="Times New Roman" w:hAnsi="Times New Roman" w:cs="Times New Roman"/>
          <w:noProof/>
          <w:color w:val="000000" w:themeColor="text1"/>
          <w:lang w:val="en-IE"/>
        </w:rPr>
        <w:t xml:space="preserve">i.e. </w:t>
      </w:r>
      <w:r w:rsidR="22534979" w:rsidRPr="00BB239D">
        <w:rPr>
          <w:rFonts w:ascii="Times New Roman" w:eastAsia="Times New Roman" w:hAnsi="Times New Roman" w:cs="Times New Roman"/>
          <w:noProof/>
          <w:color w:val="000000" w:themeColor="text1"/>
          <w:lang w:val="en-IE"/>
        </w:rPr>
        <w:t xml:space="preserve">EUR 308 million </w:t>
      </w:r>
      <w:r w:rsidR="00F90DB3">
        <w:rPr>
          <w:rFonts w:ascii="Times New Roman" w:eastAsia="Times New Roman" w:hAnsi="Times New Roman" w:cs="Times New Roman"/>
          <w:noProof/>
          <w:color w:val="000000" w:themeColor="text1"/>
          <w:lang w:val="en-IE"/>
        </w:rPr>
        <w:t xml:space="preserve">corresponding to 25% </w:t>
      </w:r>
      <w:r w:rsidR="005013F8">
        <w:rPr>
          <w:rFonts w:ascii="Times New Roman" w:eastAsia="Times New Roman" w:hAnsi="Times New Roman" w:cs="Times New Roman"/>
          <w:noProof/>
          <w:color w:val="000000" w:themeColor="text1"/>
          <w:lang w:val="en-IE"/>
        </w:rPr>
        <w:t xml:space="preserve">of the expected revenues generated by the sale of CBAM certificates related to </w:t>
      </w:r>
      <w:r w:rsidR="30504FA9" w:rsidRPr="1E3794DC">
        <w:rPr>
          <w:rFonts w:ascii="Times New Roman" w:eastAsia="Times New Roman" w:hAnsi="Times New Roman" w:cs="Times New Roman"/>
          <w:noProof/>
          <w:lang w:val="en-IE"/>
        </w:rPr>
        <w:t xml:space="preserve">embedded emissions declared </w:t>
      </w:r>
      <w:r w:rsidR="005013F8">
        <w:rPr>
          <w:rFonts w:ascii="Times New Roman" w:eastAsia="Times New Roman" w:hAnsi="Times New Roman" w:cs="Times New Roman"/>
          <w:noProof/>
          <w:color w:val="000000" w:themeColor="text1"/>
          <w:lang w:val="en-IE"/>
        </w:rPr>
        <w:t xml:space="preserve">in </w:t>
      </w:r>
      <w:r w:rsidRPr="00BB239D">
        <w:rPr>
          <w:rFonts w:ascii="Times New Roman" w:eastAsia="Times New Roman" w:hAnsi="Times New Roman" w:cs="Times New Roman"/>
          <w:noProof/>
          <w:color w:val="000000" w:themeColor="text1"/>
          <w:lang w:val="en-IE"/>
        </w:rPr>
        <w:t>2026</w:t>
      </w:r>
      <w:r w:rsidR="1C18C2A0" w:rsidRPr="00BB239D">
        <w:rPr>
          <w:rFonts w:ascii="Times New Roman" w:eastAsia="Times New Roman" w:hAnsi="Times New Roman" w:cs="Times New Roman"/>
          <w:noProof/>
          <w:color w:val="000000" w:themeColor="text1"/>
          <w:lang w:val="en-IE"/>
        </w:rPr>
        <w:t>,</w:t>
      </w:r>
      <w:r w:rsidR="22534979" w:rsidRPr="00BB239D">
        <w:rPr>
          <w:rFonts w:ascii="Times New Roman" w:eastAsia="Times New Roman" w:hAnsi="Times New Roman" w:cs="Times New Roman"/>
          <w:noProof/>
          <w:color w:val="000000" w:themeColor="text1"/>
          <w:lang w:val="en-IE"/>
        </w:rPr>
        <w:t xml:space="preserve"> and </w:t>
      </w:r>
      <w:r w:rsidRPr="00BB239D">
        <w:rPr>
          <w:rFonts w:ascii="Times New Roman" w:eastAsia="Times New Roman" w:hAnsi="Times New Roman" w:cs="Times New Roman"/>
          <w:noProof/>
          <w:color w:val="000000" w:themeColor="text1"/>
          <w:lang w:val="en-IE"/>
        </w:rPr>
        <w:t xml:space="preserve">EUR 324 million </w:t>
      </w:r>
      <w:r w:rsidR="00F366DB">
        <w:rPr>
          <w:rFonts w:ascii="Times New Roman" w:eastAsia="Times New Roman" w:hAnsi="Times New Roman" w:cs="Times New Roman"/>
          <w:noProof/>
          <w:color w:val="000000" w:themeColor="text1"/>
          <w:lang w:val="en-IE"/>
        </w:rPr>
        <w:t xml:space="preserve">respectively in relation to </w:t>
      </w:r>
      <w:r w:rsidR="609AC68F" w:rsidRPr="1E3794DC">
        <w:rPr>
          <w:rFonts w:ascii="Times New Roman" w:eastAsia="Times New Roman" w:hAnsi="Times New Roman" w:cs="Times New Roman"/>
          <w:noProof/>
          <w:lang w:val="en-IE"/>
        </w:rPr>
        <w:t>embedded emissions declared in</w:t>
      </w:r>
      <w:r w:rsidR="00A700DF">
        <w:rPr>
          <w:rFonts w:ascii="Times New Roman" w:eastAsia="Times New Roman" w:hAnsi="Times New Roman" w:cs="Times New Roman"/>
          <w:noProof/>
          <w:color w:val="000000" w:themeColor="text1"/>
          <w:lang w:val="en-IE"/>
        </w:rPr>
        <w:t xml:space="preserve"> 2027</w:t>
      </w:r>
      <w:r w:rsidR="00837D08" w:rsidRPr="00BB239D">
        <w:rPr>
          <w:rStyle w:val="FootnoteReference"/>
          <w:rFonts w:ascii="Times New Roman" w:eastAsia="Times New Roman" w:hAnsi="Times New Roman" w:cs="Times New Roman"/>
          <w:noProof/>
          <w:color w:val="000000" w:themeColor="text1"/>
          <w:lang w:val="en-IE"/>
        </w:rPr>
        <w:footnoteReference w:id="12"/>
      </w:r>
      <w:r w:rsidR="0F165324" w:rsidRPr="00BB239D">
        <w:rPr>
          <w:rFonts w:ascii="Times New Roman" w:eastAsia="Times New Roman" w:hAnsi="Times New Roman" w:cs="Times New Roman"/>
          <w:noProof/>
          <w:color w:val="000000" w:themeColor="text1"/>
          <w:lang w:val="en-IE"/>
        </w:rPr>
        <w:t>.</w:t>
      </w:r>
      <w:r w:rsidRPr="00BB239D">
        <w:rPr>
          <w:rFonts w:ascii="Times New Roman" w:eastAsia="Times New Roman" w:hAnsi="Times New Roman" w:cs="Times New Roman"/>
          <w:noProof/>
          <w:lang w:val="en-IE"/>
        </w:rPr>
        <w:t xml:space="preserve"> </w:t>
      </w:r>
      <w:r w:rsidR="6FE0994B" w:rsidRPr="00BB239D">
        <w:rPr>
          <w:rFonts w:ascii="Times New Roman" w:eastAsia="Times New Roman" w:hAnsi="Times New Roman" w:cs="Times New Roman"/>
          <w:noProof/>
          <w:lang w:val="en-IE"/>
        </w:rPr>
        <w:t>However, these are estimates and the amount available for compensation will depend on the actual CBAM certificates prices and revenue in 2026 and 2027.</w:t>
      </w:r>
    </w:p>
    <w:p w14:paraId="57DF43CF" w14:textId="77777777" w:rsidR="0045284A" w:rsidRDefault="00C3412D" w:rsidP="007E0E72">
      <w:pPr>
        <w:spacing w:after="120"/>
        <w:jc w:val="both"/>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themeColor="text1"/>
          <w:lang w:val="en-IE"/>
        </w:rPr>
        <w:t>The estimated costs for the Temporary Decarbonisation Fund are relatively small, due to the moderate free allocation reduction in 2026 and 2027 (2.5% and 5%). The estimated maximum budget needed if all CBAM goods were covered (EUR 1.4 billion) exceeds the funds available which underlines the need to target the measure by setting a threshold.</w:t>
      </w:r>
    </w:p>
    <w:p w14:paraId="5668F51D" w14:textId="7550F7FB" w:rsidR="00DB7445" w:rsidRPr="00BB239D" w:rsidRDefault="00A72905" w:rsidP="007E0E72">
      <w:pPr>
        <w:spacing w:after="120"/>
        <w:jc w:val="both"/>
        <w:rPr>
          <w:rFonts w:ascii="Times New Roman" w:eastAsia="Times New Roman" w:hAnsi="Times New Roman" w:cs="Times New Roman"/>
          <w:noProof/>
          <w:color w:val="000000" w:themeColor="text1"/>
        </w:rPr>
      </w:pPr>
      <w:r w:rsidRPr="00BB239D">
        <w:rPr>
          <w:rFonts w:ascii="Times New Roman" w:eastAsia="Times New Roman" w:hAnsi="Times New Roman" w:cs="Times New Roman"/>
          <w:noProof/>
          <w:color w:val="000000" w:themeColor="text1"/>
          <w:lang w:val="en-IE"/>
        </w:rPr>
        <w:t xml:space="preserve">The proposed threshold </w:t>
      </w:r>
      <w:r w:rsidR="005A0B73" w:rsidRPr="59F485BF">
        <w:rPr>
          <w:rFonts w:ascii="Times New Roman" w:eastAsia="Times New Roman" w:hAnsi="Times New Roman" w:cs="Times New Roman"/>
          <w:noProof/>
          <w:color w:val="000000" w:themeColor="text1"/>
          <w:lang w:val="en-IE"/>
        </w:rPr>
        <w:t xml:space="preserve">for </w:t>
      </w:r>
      <w:r>
        <w:rPr>
          <w:rFonts w:ascii="Times New Roman" w:eastAsia="Times New Roman" w:hAnsi="Times New Roman" w:cs="Times New Roman"/>
          <w:noProof/>
          <w:color w:val="000000" w:themeColor="text1"/>
          <w:lang w:val="en-IE"/>
        </w:rPr>
        <w:t>support is the same as for the trade intensity threshold under Phase III of the EU ETS, when only one</w:t>
      </w:r>
      <w:r w:rsidR="37172387" w:rsidRPr="59F485BF">
        <w:rPr>
          <w:rFonts w:ascii="Times New Roman" w:eastAsia="Times New Roman" w:hAnsi="Times New Roman" w:cs="Times New Roman"/>
          <w:noProof/>
          <w:color w:val="000000" w:themeColor="text1"/>
          <w:lang w:val="en-IE"/>
        </w:rPr>
        <w:t xml:space="preserve"> indicator is </w:t>
      </w:r>
      <w:r>
        <w:rPr>
          <w:rFonts w:ascii="Times New Roman" w:eastAsia="Times New Roman" w:hAnsi="Times New Roman" w:cs="Times New Roman"/>
          <w:noProof/>
          <w:color w:val="000000" w:themeColor="text1"/>
          <w:lang w:val="en-IE"/>
        </w:rPr>
        <w:t>used (</w:t>
      </w:r>
      <w:r>
        <w:rPr>
          <w:rFonts w:ascii="Times New Roman" w:eastAsia="Times New Roman" w:hAnsi="Times New Roman" w:cs="Times New Roman"/>
          <w:noProof/>
          <w:color w:val="000000" w:themeColor="text1"/>
        </w:rPr>
        <w:t>30%).</w:t>
      </w:r>
      <w:r w:rsidR="00406EA5" w:rsidRPr="00BB239D">
        <w:rPr>
          <w:rFonts w:ascii="Times New Roman" w:eastAsia="Times New Roman" w:hAnsi="Times New Roman" w:cs="Times New Roman"/>
          <w:noProof/>
          <w:color w:val="000000" w:themeColor="text1"/>
        </w:rPr>
        <w:t xml:space="preserve"> </w:t>
      </w:r>
      <w:r w:rsidR="02D34E30" w:rsidRPr="00BB239D">
        <w:rPr>
          <w:rFonts w:ascii="Times New Roman" w:eastAsia="Times New Roman" w:hAnsi="Times New Roman" w:cs="Times New Roman"/>
          <w:noProof/>
          <w:color w:val="000000" w:themeColor="text1"/>
        </w:rPr>
        <w:t xml:space="preserve">This </w:t>
      </w:r>
      <w:r>
        <w:rPr>
          <w:rFonts w:ascii="Times New Roman" w:eastAsia="Times New Roman" w:hAnsi="Times New Roman" w:cs="Times New Roman"/>
          <w:noProof/>
          <w:color w:val="000000" w:themeColor="text1"/>
        </w:rPr>
        <w:t xml:space="preserve">provides </w:t>
      </w:r>
      <w:r w:rsidR="02D34E30" w:rsidRPr="00BB239D">
        <w:rPr>
          <w:rFonts w:ascii="Times New Roman" w:eastAsia="Times New Roman" w:hAnsi="Times New Roman" w:cs="Times New Roman"/>
          <w:noProof/>
          <w:color w:val="000000" w:themeColor="text1"/>
        </w:rPr>
        <w:t xml:space="preserve">for targeted support. </w:t>
      </w:r>
      <w:r w:rsidR="00406EA5" w:rsidRPr="00BB239D">
        <w:rPr>
          <w:rFonts w:ascii="Times New Roman" w:eastAsia="Times New Roman" w:hAnsi="Times New Roman" w:cs="Times New Roman"/>
          <w:noProof/>
          <w:color w:val="000000" w:themeColor="text1"/>
        </w:rPr>
        <w:t xml:space="preserve">Table </w:t>
      </w:r>
      <w:r w:rsidR="00CC4EA9" w:rsidRPr="00BB239D">
        <w:rPr>
          <w:rFonts w:ascii="Times New Roman" w:eastAsia="Times New Roman" w:hAnsi="Times New Roman" w:cs="Times New Roman"/>
          <w:noProof/>
          <w:color w:val="000000" w:themeColor="text1"/>
        </w:rPr>
        <w:t>1</w:t>
      </w:r>
      <w:r w:rsidR="00406EA5" w:rsidRPr="00BB239D">
        <w:rPr>
          <w:rFonts w:ascii="Times New Roman" w:eastAsia="Times New Roman" w:hAnsi="Times New Roman" w:cs="Times New Roman"/>
          <w:noProof/>
          <w:color w:val="000000" w:themeColor="text1"/>
        </w:rPr>
        <w:t xml:space="preserve"> provides an overview of the </w:t>
      </w:r>
      <w:r w:rsidR="009F6AFB" w:rsidRPr="00BB239D">
        <w:rPr>
          <w:rFonts w:ascii="Times New Roman" w:eastAsia="Times New Roman" w:hAnsi="Times New Roman" w:cs="Times New Roman"/>
          <w:noProof/>
          <w:color w:val="000000" w:themeColor="text1"/>
        </w:rPr>
        <w:t xml:space="preserve">number of goods (CN codes) covered, as well as preliminary </w:t>
      </w:r>
      <w:r w:rsidR="000E6DE3" w:rsidRPr="00BB239D">
        <w:rPr>
          <w:rFonts w:ascii="Times New Roman" w:eastAsia="Times New Roman" w:hAnsi="Times New Roman" w:cs="Times New Roman"/>
          <w:noProof/>
          <w:color w:val="000000" w:themeColor="text1"/>
        </w:rPr>
        <w:t>estimations of the phased-out free allowances covered</w:t>
      </w:r>
      <w:r w:rsidR="55D3C0EE" w:rsidRPr="00BB239D">
        <w:rPr>
          <w:rFonts w:ascii="Times New Roman" w:eastAsia="Times New Roman" w:hAnsi="Times New Roman" w:cs="Times New Roman"/>
          <w:noProof/>
          <w:color w:val="000000" w:themeColor="text1"/>
        </w:rPr>
        <w:t>,</w:t>
      </w:r>
      <w:r w:rsidR="00DD2462" w:rsidRPr="00BB239D">
        <w:rPr>
          <w:rFonts w:ascii="Times New Roman" w:eastAsia="Times New Roman" w:hAnsi="Times New Roman" w:cs="Times New Roman"/>
          <w:noProof/>
          <w:color w:val="000000" w:themeColor="text1"/>
        </w:rPr>
        <w:t xml:space="preserve"> and</w:t>
      </w:r>
      <w:r w:rsidR="000E6DE3" w:rsidRPr="00BB239D">
        <w:rPr>
          <w:rFonts w:ascii="Times New Roman" w:eastAsia="Times New Roman" w:hAnsi="Times New Roman" w:cs="Times New Roman"/>
          <w:noProof/>
          <w:color w:val="000000" w:themeColor="text1"/>
        </w:rPr>
        <w:t xml:space="preserve"> </w:t>
      </w:r>
      <w:r w:rsidR="00DE292C" w:rsidRPr="00BB239D">
        <w:rPr>
          <w:rFonts w:ascii="Times New Roman" w:eastAsia="Times New Roman" w:hAnsi="Times New Roman" w:cs="Times New Roman"/>
          <w:noProof/>
          <w:color w:val="000000" w:themeColor="text1"/>
        </w:rPr>
        <w:t>financial support provided as part of the temporary measure.</w:t>
      </w:r>
      <w:r w:rsidR="005C050D" w:rsidRPr="00BB239D">
        <w:rPr>
          <w:rFonts w:ascii="Times New Roman" w:eastAsia="Times New Roman" w:hAnsi="Times New Roman" w:cs="Times New Roman"/>
          <w:noProof/>
          <w:color w:val="000000" w:themeColor="text1"/>
        </w:rPr>
        <w:t xml:space="preserve"> </w:t>
      </w:r>
      <w:r w:rsidR="001F7478" w:rsidRPr="00BB239D">
        <w:rPr>
          <w:rFonts w:ascii="Times New Roman" w:eastAsia="Times New Roman" w:hAnsi="Times New Roman" w:cs="Times New Roman"/>
          <w:noProof/>
          <w:color w:val="000000" w:themeColor="text1"/>
        </w:rPr>
        <w:t>Overall, th</w:t>
      </w:r>
      <w:r w:rsidR="0006074D" w:rsidRPr="00BB239D">
        <w:rPr>
          <w:rFonts w:ascii="Times New Roman" w:eastAsia="Times New Roman" w:hAnsi="Times New Roman" w:cs="Times New Roman"/>
          <w:noProof/>
          <w:color w:val="000000" w:themeColor="text1"/>
        </w:rPr>
        <w:t xml:space="preserve">is threshold strikes the right balance between targeting the support to those </w:t>
      </w:r>
      <w:r w:rsidR="00443C9F">
        <w:rPr>
          <w:rFonts w:ascii="Times New Roman" w:eastAsia="Times New Roman" w:hAnsi="Times New Roman" w:cs="Times New Roman"/>
          <w:noProof/>
          <w:color w:val="000000" w:themeColor="text1"/>
        </w:rPr>
        <w:t xml:space="preserve">goods </w:t>
      </w:r>
      <w:r w:rsidR="0006074D" w:rsidRPr="00BB239D">
        <w:rPr>
          <w:rFonts w:ascii="Times New Roman" w:eastAsia="Times New Roman" w:hAnsi="Times New Roman" w:cs="Times New Roman"/>
          <w:noProof/>
          <w:color w:val="000000" w:themeColor="text1"/>
        </w:rPr>
        <w:t xml:space="preserve">most exposed to </w:t>
      </w:r>
      <w:r w:rsidR="5A01652A" w:rsidRPr="00BB239D">
        <w:rPr>
          <w:rFonts w:ascii="Times New Roman" w:hAnsi="Times New Roman" w:cs="Times New Roman"/>
          <w:noProof/>
        </w:rPr>
        <w:t>remaining</w:t>
      </w:r>
      <w:r w:rsidR="0006074D" w:rsidRPr="00BB239D">
        <w:rPr>
          <w:rFonts w:ascii="Times New Roman" w:eastAsia="Times New Roman" w:hAnsi="Times New Roman" w:cs="Times New Roman"/>
          <w:noProof/>
          <w:color w:val="000000" w:themeColor="text1"/>
        </w:rPr>
        <w:t xml:space="preserve"> carbon </w:t>
      </w:r>
      <w:r w:rsidR="00D95A0E" w:rsidRPr="00BB239D">
        <w:rPr>
          <w:rFonts w:ascii="Times New Roman" w:eastAsia="Times New Roman" w:hAnsi="Times New Roman" w:cs="Times New Roman"/>
          <w:noProof/>
          <w:color w:val="000000" w:themeColor="text1"/>
        </w:rPr>
        <w:t xml:space="preserve">leakage </w:t>
      </w:r>
      <w:r w:rsidR="00A01265" w:rsidRPr="00BB239D">
        <w:rPr>
          <w:rFonts w:ascii="Times New Roman" w:eastAsia="Times New Roman" w:hAnsi="Times New Roman" w:cs="Times New Roman"/>
          <w:noProof/>
          <w:color w:val="000000" w:themeColor="text1"/>
        </w:rPr>
        <w:t xml:space="preserve">and respecting </w:t>
      </w:r>
      <w:r w:rsidR="00D95A0E" w:rsidRPr="00BB239D">
        <w:rPr>
          <w:rFonts w:ascii="Times New Roman" w:eastAsia="Times New Roman" w:hAnsi="Times New Roman" w:cs="Times New Roman"/>
          <w:noProof/>
          <w:color w:val="000000" w:themeColor="text1"/>
        </w:rPr>
        <w:t xml:space="preserve">the available </w:t>
      </w:r>
      <w:r w:rsidR="00EA51BC" w:rsidRPr="00BB239D">
        <w:rPr>
          <w:rFonts w:ascii="Times New Roman" w:eastAsia="Times New Roman" w:hAnsi="Times New Roman" w:cs="Times New Roman"/>
          <w:noProof/>
          <w:color w:val="000000" w:themeColor="text1"/>
        </w:rPr>
        <w:t xml:space="preserve">budget. </w:t>
      </w:r>
    </w:p>
    <w:p w14:paraId="65618806" w14:textId="2FB1859D" w:rsidR="00CC4EA9" w:rsidRDefault="00CC4EA9" w:rsidP="00CC4EA9">
      <w:pPr>
        <w:pStyle w:val="Caption"/>
        <w:keepNext/>
        <w:rPr>
          <w:noProof/>
        </w:rPr>
      </w:pPr>
      <w:r>
        <w:rPr>
          <w:noProof/>
        </w:rPr>
        <w:t xml:space="preserve">Table </w:t>
      </w:r>
      <w:r w:rsidR="004E51C5">
        <w:rPr>
          <w:noProof/>
        </w:rPr>
        <w:t xml:space="preserve">1 </w:t>
      </w:r>
      <w:r w:rsidRPr="002B5F61">
        <w:rPr>
          <w:noProof/>
        </w:rPr>
        <w:t>overview of the number of goods (CN codes) covered, as well as preliminary estimations of the phased-out free allowances covered and financial support provided as part of the temporary measure</w:t>
      </w:r>
      <w:r w:rsidR="007961FC">
        <w:rPr>
          <w:noProof/>
        </w:rPr>
        <w:t xml:space="preserve"> </w:t>
      </w:r>
      <w:r w:rsidR="00A50DA6">
        <w:rPr>
          <w:noProof/>
        </w:rPr>
        <w:t xml:space="preserve">for a </w:t>
      </w:r>
      <w:r>
        <w:rPr>
          <w:noProof/>
        </w:rPr>
        <w:t>threshold</w:t>
      </w:r>
      <w:r w:rsidR="00A50DA6">
        <w:rPr>
          <w:noProof/>
        </w:rPr>
        <w:t xml:space="preserve"> of &gt; 30%.</w:t>
      </w:r>
    </w:p>
    <w:tbl>
      <w:tblPr>
        <w:tblStyle w:val="TableGrid"/>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1"/>
        <w:gridCol w:w="2509"/>
        <w:gridCol w:w="2789"/>
      </w:tblGrid>
      <w:tr w:rsidR="00833F7D" w:rsidRPr="001A523C" w14:paraId="328C2FF7" w14:textId="77777777" w:rsidTr="00CC4EA9">
        <w:tc>
          <w:tcPr>
            <w:tcW w:w="3630" w:type="dxa"/>
          </w:tcPr>
          <w:p w14:paraId="3C74F10F" w14:textId="77777777" w:rsidR="00833F7D" w:rsidRPr="001A523C" w:rsidRDefault="00833F7D" w:rsidP="00FE45E8">
            <w:pPr>
              <w:spacing w:after="120" w:line="259" w:lineRule="auto"/>
              <w:rPr>
                <w:rFonts w:ascii="Times New Roman" w:hAnsi="Times New Roman" w:cs="Times New Roman"/>
                <w:i/>
                <w:iCs/>
                <w:noProof/>
                <w:lang w:val="en-IE"/>
              </w:rPr>
            </w:pPr>
            <w:r w:rsidRPr="001A523C">
              <w:rPr>
                <w:rFonts w:ascii="Times New Roman" w:hAnsi="Times New Roman" w:cs="Times New Roman"/>
                <w:i/>
                <w:iCs/>
                <w:noProof/>
                <w:lang w:val="en-IE"/>
              </w:rPr>
              <w:t>CN codes covered</w:t>
            </w:r>
          </w:p>
        </w:tc>
        <w:tc>
          <w:tcPr>
            <w:tcW w:w="2509" w:type="dxa"/>
          </w:tcPr>
          <w:p w14:paraId="6D509953" w14:textId="01627516" w:rsidR="00833F7D" w:rsidRPr="001A523C" w:rsidRDefault="00406EA5" w:rsidP="00FE45E8">
            <w:pPr>
              <w:spacing w:after="120" w:line="259" w:lineRule="auto"/>
              <w:rPr>
                <w:rFonts w:ascii="Times New Roman" w:hAnsi="Times New Roman" w:cs="Times New Roman"/>
                <w:i/>
                <w:iCs/>
                <w:noProof/>
                <w:lang w:val="en-IE"/>
              </w:rPr>
            </w:pPr>
            <w:r>
              <w:rPr>
                <w:rFonts w:ascii="Times New Roman" w:hAnsi="Times New Roman" w:cs="Times New Roman"/>
                <w:i/>
                <w:iCs/>
                <w:noProof/>
                <w:lang w:val="en-IE"/>
              </w:rPr>
              <w:t>Estimated p</w:t>
            </w:r>
            <w:r w:rsidR="00833F7D" w:rsidRPr="001A523C">
              <w:rPr>
                <w:rFonts w:ascii="Times New Roman" w:hAnsi="Times New Roman" w:cs="Times New Roman"/>
                <w:i/>
                <w:iCs/>
                <w:noProof/>
                <w:lang w:val="en-IE"/>
              </w:rPr>
              <w:t>hased-out FAs covered</w:t>
            </w:r>
          </w:p>
        </w:tc>
        <w:tc>
          <w:tcPr>
            <w:tcW w:w="2789" w:type="dxa"/>
          </w:tcPr>
          <w:p w14:paraId="4816ECEE" w14:textId="15B73E6E" w:rsidR="00833F7D" w:rsidRPr="001A523C" w:rsidRDefault="00833F7D" w:rsidP="00FE45E8">
            <w:pPr>
              <w:spacing w:after="120" w:line="259" w:lineRule="auto"/>
              <w:rPr>
                <w:rFonts w:ascii="Times New Roman" w:hAnsi="Times New Roman" w:cs="Times New Roman"/>
                <w:i/>
                <w:iCs/>
                <w:noProof/>
                <w:lang w:val="en-IE"/>
              </w:rPr>
            </w:pPr>
            <w:r w:rsidRPr="001A523C">
              <w:rPr>
                <w:rFonts w:ascii="Times New Roman" w:hAnsi="Times New Roman" w:cs="Times New Roman"/>
                <w:i/>
                <w:iCs/>
                <w:noProof/>
                <w:lang w:val="en-IE"/>
              </w:rPr>
              <w:t>Estimated</w:t>
            </w:r>
            <w:r w:rsidR="00DD2462">
              <w:rPr>
                <w:rFonts w:ascii="Times New Roman" w:hAnsi="Times New Roman" w:cs="Times New Roman"/>
                <w:i/>
                <w:iCs/>
                <w:noProof/>
                <w:lang w:val="en-IE"/>
              </w:rPr>
              <w:t xml:space="preserve"> financial support</w:t>
            </w:r>
            <w:r w:rsidR="00DE292C">
              <w:rPr>
                <w:rFonts w:ascii="Times New Roman" w:hAnsi="Times New Roman" w:cs="Times New Roman"/>
                <w:i/>
                <w:iCs/>
                <w:noProof/>
                <w:lang w:val="en-IE"/>
              </w:rPr>
              <w:t xml:space="preserve"> (2026-2027)</w:t>
            </w:r>
          </w:p>
        </w:tc>
      </w:tr>
      <w:tr w:rsidR="00833F7D" w:rsidRPr="001F4858" w14:paraId="04193E19" w14:textId="77777777" w:rsidTr="00CC4EA9">
        <w:tc>
          <w:tcPr>
            <w:tcW w:w="3630" w:type="dxa"/>
          </w:tcPr>
          <w:p w14:paraId="4718F7D6" w14:textId="77777777" w:rsidR="00833F7D" w:rsidRPr="001A523C" w:rsidRDefault="00833F7D" w:rsidP="00FE45E8">
            <w:pPr>
              <w:spacing w:after="120" w:line="259" w:lineRule="auto"/>
              <w:rPr>
                <w:rFonts w:ascii="Times New Roman" w:hAnsi="Times New Roman" w:cs="Times New Roman"/>
                <w:noProof/>
                <w:lang w:val="en-IE"/>
              </w:rPr>
            </w:pPr>
            <w:r w:rsidRPr="001A523C">
              <w:rPr>
                <w:rFonts w:ascii="Times New Roman" w:hAnsi="Times New Roman" w:cs="Times New Roman"/>
                <w:noProof/>
                <w:lang w:val="en-IE"/>
              </w:rPr>
              <w:t>142 CN codes (of 570 analysed, 25%)</w:t>
            </w:r>
          </w:p>
          <w:p w14:paraId="23E8B62B" w14:textId="77777777" w:rsidR="00833F7D" w:rsidRPr="001A523C" w:rsidRDefault="00833F7D" w:rsidP="00FE45E8">
            <w:pPr>
              <w:spacing w:after="120" w:line="259" w:lineRule="auto"/>
              <w:rPr>
                <w:rFonts w:ascii="Times New Roman" w:hAnsi="Times New Roman" w:cs="Times New Roman"/>
                <w:noProof/>
                <w:lang w:val="en-IE"/>
              </w:rPr>
            </w:pPr>
            <w:r w:rsidRPr="001A523C">
              <w:rPr>
                <w:rFonts w:ascii="Times New Roman" w:hAnsi="Times New Roman" w:cs="Times New Roman"/>
                <w:noProof/>
                <w:lang w:val="en-IE"/>
              </w:rPr>
              <w:t> </w:t>
            </w:r>
          </w:p>
          <w:p w14:paraId="31A158E7" w14:textId="77777777" w:rsidR="00833F7D" w:rsidRPr="001A523C" w:rsidRDefault="00833F7D" w:rsidP="00FE45E8">
            <w:pPr>
              <w:spacing w:after="120" w:line="259" w:lineRule="auto"/>
              <w:rPr>
                <w:rFonts w:ascii="Times New Roman" w:hAnsi="Times New Roman" w:cs="Times New Roman"/>
                <w:noProof/>
                <w:lang w:val="en-IE"/>
              </w:rPr>
            </w:pPr>
            <w:r w:rsidRPr="001A523C">
              <w:rPr>
                <w:rFonts w:ascii="Times New Roman" w:hAnsi="Times New Roman" w:cs="Times New Roman"/>
                <w:noProof/>
                <w:lang w:eastAsia="en-GB"/>
              </w:rPr>
              <w:drawing>
                <wp:inline distT="0" distB="0" distL="0" distR="0" wp14:anchorId="576FF57C" wp14:editId="7D297CEC">
                  <wp:extent cx="2174875" cy="973719"/>
                  <wp:effectExtent l="0" t="0" r="0" b="0"/>
                  <wp:docPr id="11333106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76618" cy="974499"/>
                          </a:xfrm>
                          <a:prstGeom prst="rect">
                            <a:avLst/>
                          </a:prstGeom>
                          <a:noFill/>
                          <a:ln>
                            <a:noFill/>
                          </a:ln>
                        </pic:spPr>
                      </pic:pic>
                    </a:graphicData>
                  </a:graphic>
                </wp:inline>
              </w:drawing>
            </w:r>
          </w:p>
        </w:tc>
        <w:tc>
          <w:tcPr>
            <w:tcW w:w="2509" w:type="dxa"/>
          </w:tcPr>
          <w:p w14:paraId="15DC621F" w14:textId="77777777" w:rsidR="00833F7D" w:rsidRPr="001A523C" w:rsidRDefault="00833F7D" w:rsidP="00FE45E8">
            <w:pPr>
              <w:spacing w:after="120" w:line="259" w:lineRule="auto"/>
              <w:rPr>
                <w:rFonts w:ascii="Times New Roman" w:hAnsi="Times New Roman" w:cs="Times New Roman"/>
                <w:noProof/>
                <w:lang w:val="en-IE"/>
              </w:rPr>
            </w:pPr>
            <w:r w:rsidRPr="001A523C">
              <w:rPr>
                <w:rFonts w:ascii="Times New Roman" w:hAnsi="Times New Roman" w:cs="Times New Roman"/>
                <w:noProof/>
                <w:lang w:val="en-IE"/>
              </w:rPr>
              <w:t>14% of phased-out free allowances covered</w:t>
            </w:r>
          </w:p>
        </w:tc>
        <w:tc>
          <w:tcPr>
            <w:tcW w:w="2789" w:type="dxa"/>
          </w:tcPr>
          <w:p w14:paraId="42AD0EB0" w14:textId="0AE481A7" w:rsidR="00833F7D" w:rsidRPr="001A523C" w:rsidRDefault="00833F7D" w:rsidP="00FE45E8">
            <w:pPr>
              <w:spacing w:after="120" w:line="259" w:lineRule="auto"/>
              <w:rPr>
                <w:rFonts w:ascii="Times New Roman" w:hAnsi="Times New Roman" w:cs="Times New Roman"/>
                <w:noProof/>
                <w:lang w:val="en-IE"/>
              </w:rPr>
            </w:pPr>
            <w:r w:rsidRPr="001A523C">
              <w:rPr>
                <w:rFonts w:ascii="Times New Roman" w:hAnsi="Times New Roman" w:cs="Times New Roman"/>
                <w:noProof/>
                <w:lang w:val="en-IE"/>
              </w:rPr>
              <w:t xml:space="preserve">EUR </w:t>
            </w:r>
            <w:r w:rsidR="00B25C19">
              <w:rPr>
                <w:rFonts w:ascii="Times New Roman" w:hAnsi="Times New Roman" w:cs="Times New Roman"/>
                <w:noProof/>
                <w:lang w:val="en-IE"/>
              </w:rPr>
              <w:t>190</w:t>
            </w:r>
            <w:r w:rsidR="00B25C19" w:rsidRPr="001A523C">
              <w:rPr>
                <w:rFonts w:ascii="Times New Roman" w:hAnsi="Times New Roman" w:cs="Times New Roman"/>
                <w:noProof/>
                <w:lang w:val="en-IE"/>
              </w:rPr>
              <w:t xml:space="preserve"> </w:t>
            </w:r>
            <w:r w:rsidRPr="001A523C">
              <w:rPr>
                <w:rFonts w:ascii="Times New Roman" w:hAnsi="Times New Roman" w:cs="Times New Roman"/>
                <w:noProof/>
                <w:lang w:val="en-IE"/>
              </w:rPr>
              <w:t xml:space="preserve">million, i.e. </w:t>
            </w:r>
            <w:r w:rsidR="00B24AC8">
              <w:rPr>
                <w:rFonts w:ascii="Times New Roman" w:hAnsi="Times New Roman" w:cs="Times New Roman"/>
                <w:noProof/>
                <w:lang w:val="en-IE"/>
              </w:rPr>
              <w:t>30</w:t>
            </w:r>
            <w:r w:rsidRPr="001A523C">
              <w:rPr>
                <w:rFonts w:ascii="Times New Roman" w:hAnsi="Times New Roman" w:cs="Times New Roman"/>
                <w:noProof/>
                <w:lang w:val="en-IE"/>
              </w:rPr>
              <w:t>% of assumed maximum available budget</w:t>
            </w:r>
          </w:p>
        </w:tc>
      </w:tr>
    </w:tbl>
    <w:p w14:paraId="655415D9" w14:textId="77777777" w:rsidR="00101C5C" w:rsidRDefault="00101C5C" w:rsidP="00101C5C">
      <w:pPr>
        <w:rPr>
          <w:noProof/>
        </w:rPr>
      </w:pPr>
    </w:p>
    <w:p w14:paraId="07A7F028" w14:textId="69305671" w:rsidR="00370916" w:rsidRDefault="004D73B7" w:rsidP="0042793A">
      <w:pPr>
        <w:pStyle w:val="Heading2"/>
        <w:numPr>
          <w:ilvl w:val="1"/>
          <w:numId w:val="2"/>
        </w:numPr>
        <w:spacing w:after="240" w:line="240" w:lineRule="auto"/>
        <w:ind w:hanging="360"/>
        <w:jc w:val="both"/>
        <w:rPr>
          <w:rFonts w:ascii="Times New Roman" w:eastAsia="Times New Roman" w:hAnsi="Times New Roman" w:cs="Times New Roman"/>
          <w:noProof/>
          <w:lang w:val="en-IE"/>
        </w:rPr>
      </w:pPr>
      <w:bookmarkStart w:id="25" w:name="_Toc224218963"/>
      <w:bookmarkStart w:id="26" w:name="_Toc214972108"/>
      <w:r>
        <w:rPr>
          <w:rFonts w:ascii="Times New Roman" w:eastAsia="Times New Roman" w:hAnsi="Times New Roman" w:cs="Times New Roman"/>
          <w:noProof/>
          <w:lang w:val="en-IE"/>
        </w:rPr>
        <w:t xml:space="preserve">Alternative </w:t>
      </w:r>
      <w:r w:rsidR="00CC2F78">
        <w:rPr>
          <w:rFonts w:ascii="Times New Roman" w:eastAsia="Times New Roman" w:hAnsi="Times New Roman" w:cs="Times New Roman"/>
          <w:noProof/>
          <w:lang w:val="en-IE"/>
        </w:rPr>
        <w:t xml:space="preserve">option to </w:t>
      </w:r>
      <w:r w:rsidR="00E70B53">
        <w:rPr>
          <w:rFonts w:ascii="Times New Roman" w:eastAsia="Times New Roman" w:hAnsi="Times New Roman" w:cs="Times New Roman"/>
          <w:noProof/>
          <w:lang w:val="en-IE"/>
        </w:rPr>
        <w:t xml:space="preserve">determine </w:t>
      </w:r>
      <w:r w:rsidR="005C125F">
        <w:rPr>
          <w:rFonts w:ascii="Times New Roman" w:eastAsia="Times New Roman" w:hAnsi="Times New Roman" w:cs="Times New Roman"/>
          <w:noProof/>
          <w:lang w:val="en-IE"/>
        </w:rPr>
        <w:t>eligibility of goods for the measure</w:t>
      </w:r>
      <w:bookmarkEnd w:id="25"/>
      <w:bookmarkEnd w:id="26"/>
    </w:p>
    <w:p w14:paraId="773323F8" w14:textId="692186D5" w:rsidR="00DB4802" w:rsidRPr="00BB239D" w:rsidRDefault="6D2C344D" w:rsidP="009616DA">
      <w:pPr>
        <w:spacing w:after="0"/>
        <w:jc w:val="both"/>
        <w:rPr>
          <w:rFonts w:ascii="Times New Roman" w:eastAsia="Times New Roman" w:hAnsi="Times New Roman" w:cs="Times New Roman"/>
          <w:noProof/>
          <w:color w:val="000000" w:themeColor="text1"/>
          <w:lang w:val="en-IE"/>
        </w:rPr>
      </w:pPr>
      <w:r>
        <w:rPr>
          <w:rFonts w:ascii="Times New Roman" w:eastAsia="Times New Roman" w:hAnsi="Times New Roman" w:cs="Times New Roman"/>
          <w:noProof/>
          <w:color w:val="000000" w:themeColor="text1"/>
          <w:lang w:val="en-IE"/>
        </w:rPr>
        <w:t>An alternative option considered was to target the measure by setting the threshold higher (50%).</w:t>
      </w:r>
      <w:r w:rsidR="00B64E9C">
        <w:rPr>
          <w:rFonts w:ascii="Times New Roman" w:eastAsia="Times New Roman" w:hAnsi="Times New Roman" w:cs="Times New Roman"/>
          <w:noProof/>
          <w:color w:val="000000" w:themeColor="text1"/>
          <w:lang w:val="en-IE"/>
        </w:rPr>
        <w:t xml:space="preserve"> T</w:t>
      </w:r>
      <w:r w:rsidR="7C4DBBF9" w:rsidRPr="00BB239D">
        <w:rPr>
          <w:rFonts w:ascii="Times New Roman" w:eastAsia="Times New Roman" w:hAnsi="Times New Roman" w:cs="Times New Roman"/>
          <w:noProof/>
          <w:color w:val="000000" w:themeColor="text1"/>
          <w:lang w:val="en-IE"/>
        </w:rPr>
        <w:t>his option was disregarded since only a very smal</w:t>
      </w:r>
      <w:r w:rsidR="7B2DC11A" w:rsidRPr="00BB239D">
        <w:rPr>
          <w:rFonts w:ascii="Times New Roman" w:eastAsia="Times New Roman" w:hAnsi="Times New Roman" w:cs="Times New Roman"/>
          <w:noProof/>
          <w:color w:val="000000" w:themeColor="text1"/>
          <w:lang w:val="en-IE"/>
        </w:rPr>
        <w:t xml:space="preserve">l share of CN codes and </w:t>
      </w:r>
      <w:r w:rsidR="207CDEEE" w:rsidRPr="00BB239D">
        <w:rPr>
          <w:rFonts w:ascii="Times New Roman" w:eastAsia="Times New Roman" w:hAnsi="Times New Roman" w:cs="Times New Roman"/>
          <w:noProof/>
          <w:color w:val="000000" w:themeColor="text1"/>
          <w:lang w:val="en-IE"/>
        </w:rPr>
        <w:t xml:space="preserve">phased-out free allowances would be covered, </w:t>
      </w:r>
      <w:r w:rsidR="646D6CC8" w:rsidRPr="00BB239D">
        <w:rPr>
          <w:rFonts w:ascii="Times New Roman" w:eastAsia="Times New Roman" w:hAnsi="Times New Roman" w:cs="Times New Roman"/>
          <w:noProof/>
          <w:color w:val="000000" w:themeColor="text1"/>
          <w:lang w:val="en-IE"/>
        </w:rPr>
        <w:t xml:space="preserve">risking that the measure falls short of </w:t>
      </w:r>
      <w:r w:rsidR="130D85A5" w:rsidRPr="00BB239D">
        <w:rPr>
          <w:rFonts w:ascii="Times New Roman" w:eastAsia="Times New Roman" w:hAnsi="Times New Roman" w:cs="Times New Roman"/>
          <w:noProof/>
          <w:color w:val="000000" w:themeColor="text1"/>
          <w:lang w:val="en-IE"/>
        </w:rPr>
        <w:t>effectively supporting decarbonisation investments to a sufficient level</w:t>
      </w:r>
      <w:r w:rsidR="014678A6" w:rsidRPr="00BB239D">
        <w:rPr>
          <w:rFonts w:ascii="Times New Roman" w:eastAsia="Times New Roman" w:hAnsi="Times New Roman" w:cs="Times New Roman"/>
          <w:noProof/>
          <w:color w:val="000000" w:themeColor="text1"/>
          <w:lang w:val="en-IE"/>
        </w:rPr>
        <w:t xml:space="preserve"> and thus achieving the objective of preventing carbon leakage</w:t>
      </w:r>
      <w:r w:rsidR="130D85A5" w:rsidRPr="00BB239D">
        <w:rPr>
          <w:rFonts w:ascii="Times New Roman" w:eastAsia="Times New Roman" w:hAnsi="Times New Roman" w:cs="Times New Roman"/>
          <w:noProof/>
          <w:color w:val="000000" w:themeColor="text1"/>
          <w:lang w:val="en-IE"/>
        </w:rPr>
        <w:t>.</w:t>
      </w:r>
    </w:p>
    <w:p w14:paraId="13B94B28" w14:textId="5F246347" w:rsidR="009616DA" w:rsidRPr="00DB4802" w:rsidRDefault="00482A88" w:rsidP="00DB4802">
      <w:pPr>
        <w:spacing w:after="0"/>
        <w:jc w:val="both"/>
        <w:rPr>
          <w:rFonts w:ascii="Times New Roman" w:eastAsia="Times New Roman" w:hAnsi="Times New Roman" w:cs="Times New Roman"/>
          <w:b/>
          <w:bCs/>
          <w:noProof/>
          <w:color w:val="000000" w:themeColor="text1"/>
          <w:lang w:val="en-IE"/>
        </w:rPr>
      </w:pPr>
      <w:r>
        <w:rPr>
          <w:rFonts w:ascii="Times New Roman" w:eastAsia="Times New Roman" w:hAnsi="Times New Roman" w:cs="Times New Roman"/>
          <w:b/>
          <w:bCs/>
          <w:noProof/>
          <w:color w:val="000000" w:themeColor="text1"/>
          <w:lang w:val="en-IE"/>
        </w:rPr>
        <w:t xml:space="preserve"> </w:t>
      </w:r>
    </w:p>
    <w:p w14:paraId="03805834" w14:textId="17A56DAA" w:rsidR="00556431" w:rsidRDefault="00556431" w:rsidP="00556431">
      <w:pPr>
        <w:pStyle w:val="Caption"/>
        <w:keepNext/>
        <w:rPr>
          <w:noProof/>
        </w:rPr>
      </w:pPr>
      <w:r>
        <w:rPr>
          <w:noProof/>
        </w:rPr>
        <w:t xml:space="preserve">Table </w:t>
      </w:r>
      <w:r w:rsidR="004E51C5">
        <w:rPr>
          <w:noProof/>
        </w:rPr>
        <w:t>2</w:t>
      </w:r>
      <w:r>
        <w:rPr>
          <w:noProof/>
        </w:rPr>
        <w:t xml:space="preserve"> </w:t>
      </w:r>
      <w:r w:rsidRPr="00874736">
        <w:rPr>
          <w:noProof/>
        </w:rPr>
        <w:t xml:space="preserve"> overview of the number of goods (CN codes) covered, as well as preliminary estimations of the phased-out free allowances covered and financial support provided as part of the temporary measure</w:t>
      </w:r>
      <w:r w:rsidR="007961FC">
        <w:rPr>
          <w:noProof/>
        </w:rPr>
        <w:t xml:space="preserve"> for a</w:t>
      </w:r>
      <w:r w:rsidR="00CD5097">
        <w:rPr>
          <w:noProof/>
        </w:rPr>
        <w:t xml:space="preserve"> </w:t>
      </w:r>
      <w:r w:rsidR="007961FC">
        <w:rPr>
          <w:noProof/>
        </w:rPr>
        <w:t>threshold of &gt; 50%.</w:t>
      </w:r>
    </w:p>
    <w:tbl>
      <w:tblPr>
        <w:tblStyle w:val="TableGrid"/>
        <w:tblW w:w="0" w:type="auto"/>
        <w:tblInd w:w="108" w:type="dxa"/>
        <w:tblLook w:val="04A0" w:firstRow="1" w:lastRow="0" w:firstColumn="1" w:lastColumn="0" w:noHBand="0" w:noVBand="1"/>
      </w:tblPr>
      <w:tblGrid>
        <w:gridCol w:w="3641"/>
        <w:gridCol w:w="2467"/>
        <w:gridCol w:w="2923"/>
      </w:tblGrid>
      <w:tr w:rsidR="009616DA" w:rsidRPr="001A523C" w14:paraId="155FBBF9" w14:textId="77777777" w:rsidTr="00556431">
        <w:tc>
          <w:tcPr>
            <w:tcW w:w="3538" w:type="dxa"/>
            <w:tcBorders>
              <w:top w:val="single" w:sz="4" w:space="0" w:color="auto"/>
              <w:left w:val="single" w:sz="4" w:space="0" w:color="auto"/>
              <w:bottom w:val="single" w:sz="4" w:space="0" w:color="auto"/>
              <w:right w:val="single" w:sz="4" w:space="0" w:color="auto"/>
            </w:tcBorders>
          </w:tcPr>
          <w:p w14:paraId="7A44DE02" w14:textId="77777777" w:rsidR="009616DA" w:rsidRPr="001A523C" w:rsidRDefault="009616DA">
            <w:pPr>
              <w:spacing w:after="120" w:line="259" w:lineRule="auto"/>
              <w:rPr>
                <w:rFonts w:ascii="Times New Roman" w:hAnsi="Times New Roman" w:cs="Times New Roman"/>
                <w:i/>
                <w:iCs/>
                <w:noProof/>
                <w:lang w:val="en-IE"/>
              </w:rPr>
            </w:pPr>
            <w:r w:rsidRPr="001A523C">
              <w:rPr>
                <w:rFonts w:ascii="Times New Roman" w:hAnsi="Times New Roman" w:cs="Times New Roman"/>
                <w:i/>
                <w:iCs/>
                <w:noProof/>
                <w:lang w:val="en-IE"/>
              </w:rPr>
              <w:t>CN codes covered</w:t>
            </w:r>
          </w:p>
        </w:tc>
        <w:tc>
          <w:tcPr>
            <w:tcW w:w="2467" w:type="dxa"/>
            <w:tcBorders>
              <w:top w:val="single" w:sz="4" w:space="0" w:color="auto"/>
              <w:left w:val="single" w:sz="4" w:space="0" w:color="auto"/>
              <w:bottom w:val="single" w:sz="4" w:space="0" w:color="auto"/>
              <w:right w:val="single" w:sz="4" w:space="0" w:color="auto"/>
            </w:tcBorders>
          </w:tcPr>
          <w:p w14:paraId="3F05F973" w14:textId="77777777" w:rsidR="009616DA" w:rsidRPr="001A523C" w:rsidRDefault="009616DA">
            <w:pPr>
              <w:spacing w:after="120" w:line="259" w:lineRule="auto"/>
              <w:rPr>
                <w:rFonts w:ascii="Times New Roman" w:hAnsi="Times New Roman" w:cs="Times New Roman"/>
                <w:i/>
                <w:iCs/>
                <w:noProof/>
                <w:lang w:val="en-IE"/>
              </w:rPr>
            </w:pPr>
            <w:r w:rsidRPr="001A523C">
              <w:rPr>
                <w:rFonts w:ascii="Times New Roman" w:hAnsi="Times New Roman" w:cs="Times New Roman"/>
                <w:i/>
                <w:iCs/>
                <w:noProof/>
                <w:lang w:val="en-IE"/>
              </w:rPr>
              <w:t>Phased-out FAs covered</w:t>
            </w:r>
          </w:p>
        </w:tc>
        <w:tc>
          <w:tcPr>
            <w:tcW w:w="2923" w:type="dxa"/>
            <w:tcBorders>
              <w:top w:val="single" w:sz="4" w:space="0" w:color="auto"/>
              <w:left w:val="single" w:sz="4" w:space="0" w:color="auto"/>
              <w:bottom w:val="single" w:sz="4" w:space="0" w:color="auto"/>
              <w:right w:val="single" w:sz="4" w:space="0" w:color="auto"/>
            </w:tcBorders>
          </w:tcPr>
          <w:p w14:paraId="633F7B08" w14:textId="288A7E4C" w:rsidR="009616DA" w:rsidRPr="001A523C" w:rsidRDefault="009616DA">
            <w:pPr>
              <w:spacing w:after="120" w:line="259" w:lineRule="auto"/>
              <w:rPr>
                <w:rFonts w:ascii="Times New Roman" w:hAnsi="Times New Roman" w:cs="Times New Roman"/>
                <w:i/>
                <w:iCs/>
                <w:noProof/>
                <w:lang w:val="en-IE"/>
              </w:rPr>
            </w:pPr>
            <w:r w:rsidRPr="001A523C">
              <w:rPr>
                <w:rFonts w:ascii="Times New Roman" w:hAnsi="Times New Roman" w:cs="Times New Roman"/>
                <w:i/>
                <w:iCs/>
                <w:noProof/>
                <w:lang w:val="en-IE"/>
              </w:rPr>
              <w:t xml:space="preserve">Estimated </w:t>
            </w:r>
            <w:r w:rsidR="00682620">
              <w:rPr>
                <w:rFonts w:ascii="Times New Roman" w:hAnsi="Times New Roman" w:cs="Times New Roman"/>
                <w:i/>
                <w:iCs/>
                <w:noProof/>
                <w:lang w:val="en-IE"/>
              </w:rPr>
              <w:t>financial support (2026-2027)</w:t>
            </w:r>
          </w:p>
        </w:tc>
      </w:tr>
      <w:tr w:rsidR="009616DA" w:rsidRPr="001A523C" w14:paraId="3A30CE70" w14:textId="77777777" w:rsidTr="00556431">
        <w:tc>
          <w:tcPr>
            <w:tcW w:w="3538" w:type="dxa"/>
            <w:tcBorders>
              <w:top w:val="single" w:sz="4" w:space="0" w:color="auto"/>
              <w:left w:val="single" w:sz="4" w:space="0" w:color="auto"/>
              <w:bottom w:val="single" w:sz="4" w:space="0" w:color="auto"/>
              <w:right w:val="single" w:sz="4" w:space="0" w:color="auto"/>
            </w:tcBorders>
          </w:tcPr>
          <w:p w14:paraId="14BAFFAC" w14:textId="77777777" w:rsidR="009616DA" w:rsidRPr="001A523C" w:rsidRDefault="009616DA">
            <w:pPr>
              <w:spacing w:after="120" w:line="259" w:lineRule="auto"/>
              <w:rPr>
                <w:rFonts w:ascii="Times New Roman" w:hAnsi="Times New Roman" w:cs="Times New Roman"/>
                <w:noProof/>
                <w:lang w:val="en-IE"/>
              </w:rPr>
            </w:pPr>
            <w:r w:rsidRPr="001A523C">
              <w:rPr>
                <w:rFonts w:ascii="Times New Roman" w:hAnsi="Times New Roman" w:cs="Times New Roman"/>
                <w:noProof/>
                <w:lang w:val="en-IE"/>
              </w:rPr>
              <w:t>63 CN codes (of 570 analysed, 11%)</w:t>
            </w:r>
          </w:p>
          <w:p w14:paraId="64EF3682" w14:textId="77777777" w:rsidR="009616DA" w:rsidRPr="001A523C" w:rsidRDefault="009616DA">
            <w:pPr>
              <w:spacing w:after="120" w:line="259" w:lineRule="auto"/>
              <w:rPr>
                <w:rFonts w:ascii="Times New Roman" w:hAnsi="Times New Roman" w:cs="Times New Roman"/>
                <w:noProof/>
                <w:lang w:val="en-IE"/>
              </w:rPr>
            </w:pPr>
            <w:r w:rsidRPr="001A523C">
              <w:rPr>
                <w:rFonts w:ascii="Times New Roman" w:hAnsi="Times New Roman" w:cs="Times New Roman"/>
                <w:noProof/>
                <w:lang w:val="en-IE"/>
              </w:rPr>
              <w:t> </w:t>
            </w:r>
          </w:p>
          <w:p w14:paraId="480B0EF0" w14:textId="77777777" w:rsidR="009616DA" w:rsidRPr="001A523C" w:rsidRDefault="009616DA">
            <w:pPr>
              <w:spacing w:after="120" w:line="259" w:lineRule="auto"/>
              <w:rPr>
                <w:rFonts w:ascii="Times New Roman" w:hAnsi="Times New Roman" w:cs="Times New Roman"/>
                <w:noProof/>
                <w:lang w:val="en-IE"/>
              </w:rPr>
            </w:pPr>
            <w:r w:rsidRPr="001A523C">
              <w:rPr>
                <w:rFonts w:ascii="Times New Roman" w:hAnsi="Times New Roman" w:cs="Times New Roman"/>
                <w:noProof/>
                <w:lang w:eastAsia="en-GB"/>
              </w:rPr>
              <w:drawing>
                <wp:inline distT="0" distB="0" distL="0" distR="0" wp14:anchorId="7D6C6BB6" wp14:editId="436D1AD4">
                  <wp:extent cx="2175159" cy="988828"/>
                  <wp:effectExtent l="0" t="0" r="0" b="0"/>
                  <wp:docPr id="15584732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75452" cy="988961"/>
                          </a:xfrm>
                          <a:prstGeom prst="rect">
                            <a:avLst/>
                          </a:prstGeom>
                          <a:noFill/>
                          <a:ln>
                            <a:noFill/>
                          </a:ln>
                        </pic:spPr>
                      </pic:pic>
                    </a:graphicData>
                  </a:graphic>
                </wp:inline>
              </w:drawing>
            </w:r>
          </w:p>
        </w:tc>
        <w:tc>
          <w:tcPr>
            <w:tcW w:w="2467" w:type="dxa"/>
            <w:tcBorders>
              <w:top w:val="single" w:sz="4" w:space="0" w:color="auto"/>
              <w:left w:val="single" w:sz="4" w:space="0" w:color="auto"/>
              <w:bottom w:val="single" w:sz="4" w:space="0" w:color="auto"/>
              <w:right w:val="single" w:sz="4" w:space="0" w:color="auto"/>
            </w:tcBorders>
          </w:tcPr>
          <w:p w14:paraId="6B48F4BC" w14:textId="77777777" w:rsidR="009616DA" w:rsidRPr="001A523C" w:rsidRDefault="009616DA">
            <w:pPr>
              <w:spacing w:after="120" w:line="259" w:lineRule="auto"/>
              <w:rPr>
                <w:rFonts w:ascii="Times New Roman" w:hAnsi="Times New Roman" w:cs="Times New Roman"/>
                <w:noProof/>
                <w:lang w:val="en-IE"/>
              </w:rPr>
            </w:pPr>
            <w:r w:rsidRPr="001A523C">
              <w:rPr>
                <w:rFonts w:ascii="Times New Roman" w:hAnsi="Times New Roman" w:cs="Times New Roman"/>
                <w:noProof/>
                <w:lang w:val="en-IE"/>
              </w:rPr>
              <w:t>0.3% of phased-out free allowances covered</w:t>
            </w:r>
          </w:p>
        </w:tc>
        <w:tc>
          <w:tcPr>
            <w:tcW w:w="2923" w:type="dxa"/>
            <w:tcBorders>
              <w:top w:val="single" w:sz="4" w:space="0" w:color="auto"/>
              <w:left w:val="single" w:sz="4" w:space="0" w:color="auto"/>
              <w:bottom w:val="single" w:sz="4" w:space="0" w:color="auto"/>
              <w:right w:val="single" w:sz="4" w:space="0" w:color="auto"/>
            </w:tcBorders>
          </w:tcPr>
          <w:p w14:paraId="68E1D18C" w14:textId="0FD66A44" w:rsidR="009616DA" w:rsidRPr="001A523C" w:rsidRDefault="009616DA">
            <w:pPr>
              <w:spacing w:after="120" w:line="259" w:lineRule="auto"/>
              <w:rPr>
                <w:rFonts w:ascii="Times New Roman" w:hAnsi="Times New Roman" w:cs="Times New Roman"/>
                <w:noProof/>
                <w:lang w:val="en-IE"/>
              </w:rPr>
            </w:pPr>
            <w:r w:rsidRPr="001A523C">
              <w:rPr>
                <w:rFonts w:ascii="Times New Roman" w:hAnsi="Times New Roman" w:cs="Times New Roman"/>
                <w:noProof/>
                <w:lang w:val="en-IE"/>
              </w:rPr>
              <w:t xml:space="preserve">EUR </w:t>
            </w:r>
            <w:r w:rsidR="006505F7">
              <w:rPr>
                <w:rFonts w:ascii="Times New Roman" w:hAnsi="Times New Roman" w:cs="Times New Roman"/>
                <w:noProof/>
                <w:lang w:val="en-IE"/>
              </w:rPr>
              <w:t>5</w:t>
            </w:r>
            <w:r w:rsidR="006505F7" w:rsidRPr="001A523C">
              <w:rPr>
                <w:rFonts w:ascii="Times New Roman" w:hAnsi="Times New Roman" w:cs="Times New Roman"/>
                <w:noProof/>
                <w:lang w:val="en-IE"/>
              </w:rPr>
              <w:t xml:space="preserve"> </w:t>
            </w:r>
            <w:r w:rsidRPr="001A523C">
              <w:rPr>
                <w:rFonts w:ascii="Times New Roman" w:hAnsi="Times New Roman" w:cs="Times New Roman"/>
                <w:noProof/>
                <w:lang w:val="en-IE"/>
              </w:rPr>
              <w:t>million, i.e. 1% of the MS share of assumed maximum available budget</w:t>
            </w:r>
          </w:p>
        </w:tc>
      </w:tr>
      <w:tr w:rsidR="009616DA" w:rsidRPr="001A523C" w14:paraId="794270AA" w14:textId="77777777" w:rsidTr="00556431">
        <w:tc>
          <w:tcPr>
            <w:tcW w:w="3538" w:type="dxa"/>
            <w:tcBorders>
              <w:top w:val="single" w:sz="4" w:space="0" w:color="auto"/>
            </w:tcBorders>
          </w:tcPr>
          <w:p w14:paraId="3F37EFA0" w14:textId="77777777" w:rsidR="009616DA" w:rsidRPr="001A523C" w:rsidRDefault="009616DA">
            <w:pPr>
              <w:spacing w:after="120"/>
              <w:rPr>
                <w:rFonts w:ascii="Times New Roman" w:hAnsi="Times New Roman" w:cs="Times New Roman"/>
                <w:noProof/>
                <w:lang w:val="en-IE"/>
              </w:rPr>
            </w:pPr>
          </w:p>
        </w:tc>
        <w:tc>
          <w:tcPr>
            <w:tcW w:w="2467" w:type="dxa"/>
            <w:tcBorders>
              <w:top w:val="single" w:sz="4" w:space="0" w:color="auto"/>
            </w:tcBorders>
          </w:tcPr>
          <w:p w14:paraId="5FF0AA7C" w14:textId="77777777" w:rsidR="009616DA" w:rsidRPr="001A523C" w:rsidRDefault="009616DA">
            <w:pPr>
              <w:spacing w:after="120"/>
              <w:rPr>
                <w:rFonts w:ascii="Times New Roman" w:hAnsi="Times New Roman" w:cs="Times New Roman"/>
                <w:noProof/>
                <w:lang w:val="en-IE"/>
              </w:rPr>
            </w:pPr>
          </w:p>
        </w:tc>
        <w:tc>
          <w:tcPr>
            <w:tcW w:w="2923" w:type="dxa"/>
            <w:tcBorders>
              <w:top w:val="single" w:sz="4" w:space="0" w:color="auto"/>
            </w:tcBorders>
          </w:tcPr>
          <w:p w14:paraId="2EC93D53" w14:textId="77777777" w:rsidR="009616DA" w:rsidRPr="001A523C" w:rsidRDefault="009616DA">
            <w:pPr>
              <w:spacing w:after="120"/>
              <w:rPr>
                <w:rFonts w:ascii="Times New Roman" w:hAnsi="Times New Roman" w:cs="Times New Roman"/>
                <w:noProof/>
                <w:lang w:val="en-IE"/>
              </w:rPr>
            </w:pPr>
          </w:p>
        </w:tc>
      </w:tr>
    </w:tbl>
    <w:p w14:paraId="7818A7F7" w14:textId="380FD7BE" w:rsidR="009027B8" w:rsidRDefault="00176274" w:rsidP="0042793A">
      <w:pPr>
        <w:pStyle w:val="Heading2"/>
        <w:numPr>
          <w:ilvl w:val="0"/>
          <w:numId w:val="2"/>
        </w:numPr>
        <w:spacing w:after="240" w:line="240" w:lineRule="auto"/>
        <w:ind w:left="357" w:hanging="357"/>
        <w:jc w:val="both"/>
        <w:rPr>
          <w:rFonts w:ascii="Times New Roman" w:eastAsia="Times New Roman" w:hAnsi="Times New Roman" w:cs="Times New Roman"/>
          <w:noProof/>
          <w:lang w:val="en-IE"/>
        </w:rPr>
      </w:pPr>
      <w:bookmarkStart w:id="27" w:name="_Toc224218964"/>
      <w:bookmarkStart w:id="28" w:name="_Toc214972109"/>
      <w:r>
        <w:rPr>
          <w:rFonts w:ascii="Times New Roman" w:eastAsia="Times New Roman" w:hAnsi="Times New Roman" w:cs="Times New Roman"/>
          <w:noProof/>
          <w:lang w:val="en-IE"/>
        </w:rPr>
        <w:t xml:space="preserve">A targeted approach </w:t>
      </w:r>
      <w:r w:rsidR="009027B8">
        <w:rPr>
          <w:rFonts w:ascii="Times New Roman" w:eastAsia="Times New Roman" w:hAnsi="Times New Roman" w:cs="Times New Roman"/>
          <w:noProof/>
          <w:lang w:val="en-IE"/>
        </w:rPr>
        <w:t xml:space="preserve">for </w:t>
      </w:r>
      <w:r w:rsidR="00F47DFF">
        <w:rPr>
          <w:rFonts w:ascii="Times New Roman" w:eastAsia="Times New Roman" w:hAnsi="Times New Roman" w:cs="Times New Roman"/>
          <w:noProof/>
          <w:lang w:val="en-IE"/>
        </w:rPr>
        <w:t>specific national circumstances</w:t>
      </w:r>
      <w:bookmarkEnd w:id="27"/>
      <w:bookmarkEnd w:id="28"/>
    </w:p>
    <w:p w14:paraId="02B4A21A" w14:textId="406CDCCA" w:rsidR="00F069EE" w:rsidRPr="00BB239D" w:rsidRDefault="005938F0" w:rsidP="00083886">
      <w:pPr>
        <w:spacing w:after="120"/>
        <w:jc w:val="both"/>
        <w:rPr>
          <w:rFonts w:ascii="Times New Roman" w:eastAsia="Times New Roman" w:hAnsi="Times New Roman" w:cs="Times New Roman"/>
          <w:noProof/>
          <w:lang w:val="en-IE"/>
        </w:rPr>
      </w:pPr>
      <w:r>
        <w:rPr>
          <w:rFonts w:ascii="Times New Roman" w:eastAsia="Times New Roman" w:hAnsi="Times New Roman" w:cs="Times New Roman"/>
          <w:noProof/>
          <w:lang w:val="en-IE"/>
        </w:rPr>
        <w:t xml:space="preserve">While </w:t>
      </w:r>
      <w:r w:rsidR="25D78145" w:rsidRPr="00BB239D">
        <w:rPr>
          <w:rFonts w:ascii="Times New Roman" w:eastAsia="Times New Roman" w:hAnsi="Times New Roman" w:cs="Times New Roman"/>
          <w:noProof/>
          <w:lang w:val="en-IE"/>
        </w:rPr>
        <w:t>the production of certain goods</w:t>
      </w:r>
      <w:r w:rsidR="31FED405" w:rsidRPr="00BB239D">
        <w:rPr>
          <w:rFonts w:ascii="Times New Roman" w:eastAsia="Times New Roman" w:hAnsi="Times New Roman" w:cs="Times New Roman"/>
          <w:noProof/>
          <w:lang w:val="en-IE"/>
        </w:rPr>
        <w:t xml:space="preserve"> does not have </w:t>
      </w:r>
      <w:r w:rsidR="336FCA13" w:rsidRPr="00BB239D">
        <w:rPr>
          <w:rFonts w:ascii="Times New Roman" w:eastAsia="Times New Roman" w:hAnsi="Times New Roman" w:cs="Times New Roman"/>
          <w:noProof/>
          <w:lang w:val="en-IE"/>
        </w:rPr>
        <w:t xml:space="preserve">high levels of </w:t>
      </w:r>
      <w:r w:rsidR="2FAB7DBA" w:rsidRPr="00BB239D">
        <w:rPr>
          <w:rFonts w:ascii="Times New Roman" w:hAnsi="Times New Roman" w:cs="Times New Roman"/>
          <w:noProof/>
        </w:rPr>
        <w:t>remaining</w:t>
      </w:r>
      <w:r w:rsidR="336FCA13" w:rsidRPr="00BB239D">
        <w:rPr>
          <w:rFonts w:ascii="Times New Roman" w:eastAsia="Times New Roman" w:hAnsi="Times New Roman" w:cs="Times New Roman"/>
          <w:noProof/>
          <w:lang w:val="en-IE"/>
        </w:rPr>
        <w:t xml:space="preserve"> carbon leakage risks when </w:t>
      </w:r>
      <w:r w:rsidR="37EFC35A" w:rsidRPr="00BB239D">
        <w:rPr>
          <w:rFonts w:ascii="Times New Roman" w:eastAsia="Times New Roman" w:hAnsi="Times New Roman" w:cs="Times New Roman"/>
          <w:noProof/>
          <w:lang w:val="en-IE"/>
        </w:rPr>
        <w:t>assessed at an EU-wide level</w:t>
      </w:r>
      <w:r w:rsidR="6496C2D4" w:rsidRPr="00BB239D" w:rsidDel="003C17EA">
        <w:rPr>
          <w:rFonts w:ascii="Times New Roman" w:eastAsia="Times New Roman" w:hAnsi="Times New Roman" w:cs="Times New Roman"/>
          <w:noProof/>
          <w:lang w:val="en-IE"/>
        </w:rPr>
        <w:t>,</w:t>
      </w:r>
      <w:r w:rsidR="1C9AB9DB" w:rsidRPr="00BB239D" w:rsidDel="003C17EA">
        <w:rPr>
          <w:rFonts w:ascii="Times New Roman" w:eastAsia="Times New Roman" w:hAnsi="Times New Roman" w:cs="Times New Roman"/>
          <w:noProof/>
          <w:lang w:val="en-IE"/>
        </w:rPr>
        <w:t xml:space="preserve"> </w:t>
      </w:r>
      <w:r w:rsidR="37EFC35A" w:rsidRPr="00BB239D">
        <w:rPr>
          <w:rFonts w:ascii="Times New Roman" w:eastAsia="Times New Roman" w:hAnsi="Times New Roman" w:cs="Times New Roman"/>
          <w:noProof/>
          <w:lang w:val="en-IE"/>
        </w:rPr>
        <w:t>th</w:t>
      </w:r>
      <w:r w:rsidR="657E1A53" w:rsidRPr="00BB239D">
        <w:rPr>
          <w:rFonts w:ascii="Times New Roman" w:eastAsia="Times New Roman" w:hAnsi="Times New Roman" w:cs="Times New Roman"/>
          <w:noProof/>
          <w:lang w:val="en-IE"/>
        </w:rPr>
        <w:t>e</w:t>
      </w:r>
      <w:r w:rsidR="4BFBEA43" w:rsidRPr="00BB239D">
        <w:rPr>
          <w:rFonts w:ascii="Times New Roman" w:eastAsia="Times New Roman" w:hAnsi="Times New Roman" w:cs="Times New Roman"/>
          <w:noProof/>
          <w:lang w:val="en-IE"/>
        </w:rPr>
        <w:t xml:space="preserve"> </w:t>
      </w:r>
      <w:r w:rsidR="7F91D383" w:rsidRPr="00BB239D">
        <w:rPr>
          <w:rFonts w:ascii="Times New Roman" w:hAnsi="Times New Roman" w:cs="Times New Roman"/>
          <w:noProof/>
        </w:rPr>
        <w:t>remaining</w:t>
      </w:r>
      <w:r w:rsidR="4BFBEA43" w:rsidRPr="00BB239D">
        <w:rPr>
          <w:rFonts w:ascii="Times New Roman" w:eastAsia="Times New Roman" w:hAnsi="Times New Roman" w:cs="Times New Roman"/>
          <w:noProof/>
          <w:lang w:val="en-IE"/>
        </w:rPr>
        <w:t xml:space="preserve"> carbon leakage risks might </w:t>
      </w:r>
      <w:r>
        <w:rPr>
          <w:rFonts w:ascii="Times New Roman" w:eastAsia="Times New Roman" w:hAnsi="Times New Roman" w:cs="Times New Roman"/>
          <w:noProof/>
          <w:lang w:val="en-IE"/>
        </w:rPr>
        <w:t>nonetheless</w:t>
      </w:r>
      <w:r w:rsidRPr="00BB239D">
        <w:rPr>
          <w:rFonts w:ascii="Times New Roman" w:eastAsia="Times New Roman" w:hAnsi="Times New Roman" w:cs="Times New Roman"/>
          <w:noProof/>
          <w:lang w:val="en-IE"/>
        </w:rPr>
        <w:t xml:space="preserve"> </w:t>
      </w:r>
      <w:r w:rsidR="4BFBEA43" w:rsidRPr="00BB239D">
        <w:rPr>
          <w:rFonts w:ascii="Times New Roman" w:eastAsia="Times New Roman" w:hAnsi="Times New Roman" w:cs="Times New Roman"/>
          <w:noProof/>
          <w:lang w:val="en-IE"/>
        </w:rPr>
        <w:t xml:space="preserve">be </w:t>
      </w:r>
      <w:r w:rsidR="247E43F0" w:rsidRPr="00BB239D">
        <w:rPr>
          <w:rFonts w:ascii="Times New Roman" w:eastAsia="Times New Roman" w:hAnsi="Times New Roman" w:cs="Times New Roman"/>
          <w:noProof/>
          <w:lang w:val="en-IE"/>
        </w:rPr>
        <w:t xml:space="preserve">significantly higher when </w:t>
      </w:r>
      <w:r w:rsidR="47FCD41D" w:rsidRPr="00BB239D">
        <w:rPr>
          <w:rFonts w:ascii="Times New Roman" w:eastAsia="Times New Roman" w:hAnsi="Times New Roman" w:cs="Times New Roman"/>
          <w:noProof/>
          <w:lang w:val="en-IE"/>
        </w:rPr>
        <w:t>assessed at Member State level</w:t>
      </w:r>
      <w:r w:rsidR="50BBD3E2" w:rsidRPr="00BB239D">
        <w:rPr>
          <w:rFonts w:ascii="Times New Roman" w:eastAsia="Times New Roman" w:hAnsi="Times New Roman" w:cs="Times New Roman"/>
          <w:noProof/>
          <w:lang w:val="en-IE"/>
        </w:rPr>
        <w:t xml:space="preserve"> due to unique national circumstances</w:t>
      </w:r>
      <w:r w:rsidR="47FCD41D" w:rsidRPr="00BB239D">
        <w:rPr>
          <w:rFonts w:ascii="Times New Roman" w:eastAsia="Times New Roman" w:hAnsi="Times New Roman" w:cs="Times New Roman"/>
          <w:noProof/>
          <w:lang w:val="en-IE"/>
        </w:rPr>
        <w:t xml:space="preserve">. In these cases, </w:t>
      </w:r>
      <w:r w:rsidR="33DFEFFE" w:rsidRPr="00BB239D">
        <w:rPr>
          <w:rFonts w:ascii="Times New Roman" w:eastAsia="Times New Roman" w:hAnsi="Times New Roman" w:cs="Times New Roman"/>
          <w:noProof/>
          <w:lang w:val="en-IE"/>
        </w:rPr>
        <w:t xml:space="preserve">EU ETS </w:t>
      </w:r>
      <w:r w:rsidR="336D411C" w:rsidRPr="00BB239D">
        <w:rPr>
          <w:rFonts w:ascii="Times New Roman" w:eastAsia="Times New Roman" w:hAnsi="Times New Roman" w:cs="Times New Roman"/>
          <w:noProof/>
          <w:lang w:val="en-IE"/>
        </w:rPr>
        <w:t xml:space="preserve">operators producing </w:t>
      </w:r>
      <w:r w:rsidR="71423F03" w:rsidRPr="00BB239D">
        <w:rPr>
          <w:rFonts w:ascii="Times New Roman" w:eastAsia="Times New Roman" w:hAnsi="Times New Roman" w:cs="Times New Roman"/>
          <w:noProof/>
          <w:lang w:val="en-IE"/>
        </w:rPr>
        <w:t xml:space="preserve">the affected goods </w:t>
      </w:r>
      <w:r w:rsidR="28BC6116" w:rsidRPr="00BB239D">
        <w:rPr>
          <w:rFonts w:ascii="Times New Roman" w:eastAsia="Times New Roman" w:hAnsi="Times New Roman" w:cs="Times New Roman"/>
          <w:noProof/>
          <w:lang w:val="en-IE"/>
        </w:rPr>
        <w:t>might</w:t>
      </w:r>
      <w:r w:rsidR="0E72865E" w:rsidRPr="00BB239D">
        <w:rPr>
          <w:rFonts w:ascii="Times New Roman" w:eastAsia="Times New Roman" w:hAnsi="Times New Roman" w:cs="Times New Roman"/>
          <w:noProof/>
          <w:lang w:val="en-IE"/>
        </w:rPr>
        <w:t xml:space="preserve"> also </w:t>
      </w:r>
      <w:r w:rsidR="7ADDBECB" w:rsidRPr="00BB239D">
        <w:rPr>
          <w:rFonts w:ascii="Times New Roman" w:eastAsia="Times New Roman" w:hAnsi="Times New Roman" w:cs="Times New Roman"/>
          <w:noProof/>
          <w:lang w:val="en-IE"/>
        </w:rPr>
        <w:t>be in n</w:t>
      </w:r>
      <w:r w:rsidR="0EF305A1" w:rsidRPr="00BB239D">
        <w:rPr>
          <w:rFonts w:ascii="Times New Roman" w:eastAsia="Times New Roman" w:hAnsi="Times New Roman" w:cs="Times New Roman"/>
          <w:noProof/>
          <w:lang w:val="en-IE"/>
        </w:rPr>
        <w:t>eed of</w:t>
      </w:r>
      <w:r w:rsidR="36A5100E" w:rsidRPr="00BB239D">
        <w:rPr>
          <w:rFonts w:ascii="Times New Roman" w:eastAsia="Times New Roman" w:hAnsi="Times New Roman" w:cs="Times New Roman"/>
          <w:noProof/>
          <w:lang w:val="en-IE"/>
        </w:rPr>
        <w:t xml:space="preserve"> temporary</w:t>
      </w:r>
      <w:r w:rsidR="0EF305A1" w:rsidRPr="00BB239D">
        <w:rPr>
          <w:rFonts w:ascii="Times New Roman" w:eastAsia="Times New Roman" w:hAnsi="Times New Roman" w:cs="Times New Roman"/>
          <w:noProof/>
          <w:lang w:val="en-IE"/>
        </w:rPr>
        <w:t xml:space="preserve"> </w:t>
      </w:r>
      <w:r w:rsidR="5A65029A" w:rsidRPr="00BB239D">
        <w:rPr>
          <w:rFonts w:ascii="Times New Roman" w:eastAsia="Times New Roman" w:hAnsi="Times New Roman" w:cs="Times New Roman"/>
          <w:noProof/>
          <w:lang w:val="en-IE"/>
        </w:rPr>
        <w:t xml:space="preserve">financial support to accelerate </w:t>
      </w:r>
      <w:r w:rsidR="70D9C2AE" w:rsidRPr="00BB239D">
        <w:rPr>
          <w:rFonts w:ascii="Times New Roman" w:eastAsia="Times New Roman" w:hAnsi="Times New Roman" w:cs="Times New Roman"/>
          <w:noProof/>
          <w:lang w:val="en-IE"/>
        </w:rPr>
        <w:t>decarbonisation investment</w:t>
      </w:r>
      <w:r w:rsidR="64E8A609" w:rsidRPr="00BB239D">
        <w:rPr>
          <w:rFonts w:ascii="Times New Roman" w:eastAsia="Times New Roman" w:hAnsi="Times New Roman" w:cs="Times New Roman"/>
          <w:noProof/>
          <w:lang w:val="en-IE"/>
        </w:rPr>
        <w:t>s</w:t>
      </w:r>
      <w:r w:rsidR="70D9C2AE" w:rsidRPr="00BB239D">
        <w:rPr>
          <w:rFonts w:ascii="Times New Roman" w:eastAsia="Times New Roman" w:hAnsi="Times New Roman" w:cs="Times New Roman"/>
          <w:noProof/>
          <w:lang w:val="en-IE"/>
        </w:rPr>
        <w:t>.</w:t>
      </w:r>
    </w:p>
    <w:p w14:paraId="53F1212C" w14:textId="2B5EF68B" w:rsidR="00AD67D2" w:rsidRPr="00BB239D" w:rsidRDefault="002B3FBA" w:rsidP="00083886">
      <w:pPr>
        <w:spacing w:after="120"/>
        <w:jc w:val="both"/>
        <w:rPr>
          <w:rFonts w:ascii="Times New Roman" w:eastAsia="Times New Roman" w:hAnsi="Times New Roman" w:cs="Times New Roman"/>
          <w:noProof/>
          <w:lang w:val="en-IE"/>
        </w:rPr>
      </w:pPr>
      <w:r w:rsidRPr="00BB239D">
        <w:rPr>
          <w:rFonts w:ascii="Times New Roman" w:eastAsia="Times New Roman" w:hAnsi="Times New Roman" w:cs="Times New Roman"/>
          <w:noProof/>
          <w:lang w:val="en-IE"/>
        </w:rPr>
        <w:t>Important factors for determining whether</w:t>
      </w:r>
      <w:r w:rsidR="06BB4FBF" w:rsidRPr="00BB239D">
        <w:rPr>
          <w:rFonts w:ascii="Times New Roman" w:eastAsia="Times New Roman" w:hAnsi="Times New Roman" w:cs="Times New Roman"/>
          <w:noProof/>
          <w:lang w:val="en-IE"/>
        </w:rPr>
        <w:t xml:space="preserve"> </w:t>
      </w:r>
      <w:r w:rsidR="0E6B6BFB" w:rsidRPr="00BB239D">
        <w:rPr>
          <w:rFonts w:ascii="Times New Roman" w:eastAsia="Times New Roman" w:hAnsi="Times New Roman" w:cs="Times New Roman"/>
          <w:noProof/>
          <w:lang w:val="en-IE"/>
        </w:rPr>
        <w:t xml:space="preserve">the production of </w:t>
      </w:r>
      <w:r w:rsidR="2976BA43" w:rsidRPr="00BB239D">
        <w:rPr>
          <w:rFonts w:ascii="Times New Roman" w:eastAsia="Times New Roman" w:hAnsi="Times New Roman" w:cs="Times New Roman"/>
          <w:noProof/>
          <w:lang w:val="en-IE"/>
        </w:rPr>
        <w:t>goods</w:t>
      </w:r>
      <w:r w:rsidR="00EC479F" w:rsidRPr="00BB239D">
        <w:rPr>
          <w:rFonts w:ascii="Times New Roman" w:eastAsia="Times New Roman" w:hAnsi="Times New Roman" w:cs="Times New Roman"/>
          <w:noProof/>
          <w:lang w:val="en-IE"/>
        </w:rPr>
        <w:t xml:space="preserve"> is</w:t>
      </w:r>
      <w:r w:rsidR="2976BA43" w:rsidRPr="00BB239D">
        <w:rPr>
          <w:rFonts w:ascii="Times New Roman" w:eastAsia="Times New Roman" w:hAnsi="Times New Roman" w:cs="Times New Roman"/>
          <w:noProof/>
          <w:lang w:val="en-IE"/>
        </w:rPr>
        <w:t xml:space="preserve"> </w:t>
      </w:r>
      <w:r w:rsidR="53D25DBA" w:rsidRPr="00BB239D">
        <w:rPr>
          <w:rFonts w:ascii="Times New Roman" w:eastAsia="Times New Roman" w:hAnsi="Times New Roman" w:cs="Times New Roman"/>
          <w:noProof/>
          <w:lang w:val="en-IE"/>
        </w:rPr>
        <w:t xml:space="preserve">significantly more vulnerable at an individual </w:t>
      </w:r>
      <w:r w:rsidR="3FF0D97E" w:rsidRPr="00BB239D">
        <w:rPr>
          <w:rFonts w:ascii="Times New Roman" w:eastAsia="Times New Roman" w:hAnsi="Times New Roman" w:cs="Times New Roman"/>
          <w:noProof/>
          <w:lang w:val="en-IE"/>
        </w:rPr>
        <w:t xml:space="preserve">country </w:t>
      </w:r>
      <w:r w:rsidR="61DB1709" w:rsidRPr="00BB239D">
        <w:rPr>
          <w:rFonts w:ascii="Times New Roman" w:eastAsia="Times New Roman" w:hAnsi="Times New Roman" w:cs="Times New Roman"/>
          <w:noProof/>
          <w:lang w:val="en-IE"/>
        </w:rPr>
        <w:t xml:space="preserve">level compared to the </w:t>
      </w:r>
      <w:r w:rsidR="433B9D15" w:rsidRPr="00BB239D">
        <w:rPr>
          <w:rFonts w:ascii="Times New Roman" w:eastAsia="Times New Roman" w:hAnsi="Times New Roman" w:cs="Times New Roman"/>
          <w:noProof/>
          <w:lang w:val="en-IE"/>
        </w:rPr>
        <w:t>EU</w:t>
      </w:r>
      <w:r w:rsidR="7B607D27" w:rsidRPr="00BB239D">
        <w:rPr>
          <w:rFonts w:ascii="Times New Roman" w:eastAsia="Times New Roman" w:hAnsi="Times New Roman" w:cs="Times New Roman"/>
          <w:noProof/>
          <w:lang w:val="en-IE"/>
        </w:rPr>
        <w:t xml:space="preserve">-wide </w:t>
      </w:r>
      <w:r w:rsidR="151C9A35" w:rsidRPr="00BB239D">
        <w:rPr>
          <w:rFonts w:ascii="Times New Roman" w:eastAsia="Times New Roman" w:hAnsi="Times New Roman" w:cs="Times New Roman"/>
          <w:noProof/>
          <w:lang w:val="en-IE"/>
        </w:rPr>
        <w:t>level</w:t>
      </w:r>
      <w:r w:rsidR="61FEB38F" w:rsidRPr="00BB239D">
        <w:rPr>
          <w:rFonts w:ascii="Times New Roman" w:eastAsia="Times New Roman" w:hAnsi="Times New Roman" w:cs="Times New Roman"/>
          <w:noProof/>
          <w:lang w:val="en-IE"/>
        </w:rPr>
        <w:t xml:space="preserve"> </w:t>
      </w:r>
      <w:r w:rsidR="00B403AF" w:rsidRPr="00BB239D">
        <w:rPr>
          <w:rFonts w:ascii="Times New Roman" w:eastAsia="Times New Roman" w:hAnsi="Times New Roman" w:cs="Times New Roman"/>
          <w:noProof/>
          <w:lang w:val="en-IE"/>
        </w:rPr>
        <w:t xml:space="preserve">are </w:t>
      </w:r>
      <w:r w:rsidR="3331686C" w:rsidRPr="00BB239D">
        <w:rPr>
          <w:rFonts w:ascii="Times New Roman" w:eastAsia="Times New Roman" w:hAnsi="Times New Roman" w:cs="Times New Roman"/>
          <w:noProof/>
          <w:lang w:val="en-IE"/>
        </w:rPr>
        <w:t xml:space="preserve">geographic </w:t>
      </w:r>
      <w:r w:rsidR="238B7790" w:rsidRPr="00BB239D">
        <w:rPr>
          <w:rFonts w:ascii="Times New Roman" w:eastAsia="Times New Roman" w:hAnsi="Times New Roman" w:cs="Times New Roman"/>
          <w:noProof/>
          <w:lang w:val="en-IE"/>
        </w:rPr>
        <w:t xml:space="preserve">circumstances </w:t>
      </w:r>
      <w:r w:rsidR="00EC479F" w:rsidRPr="00BB239D">
        <w:rPr>
          <w:rFonts w:ascii="Times New Roman" w:eastAsia="Times New Roman" w:hAnsi="Times New Roman" w:cs="Times New Roman"/>
          <w:noProof/>
          <w:lang w:val="en-IE"/>
        </w:rPr>
        <w:t>as well as</w:t>
      </w:r>
      <w:r w:rsidR="003F2FE2" w:rsidRPr="00BB239D">
        <w:rPr>
          <w:rFonts w:ascii="Times New Roman" w:eastAsia="Times New Roman" w:hAnsi="Times New Roman" w:cs="Times New Roman"/>
          <w:noProof/>
          <w:lang w:val="en-IE"/>
        </w:rPr>
        <w:t xml:space="preserve"> </w:t>
      </w:r>
      <w:r w:rsidR="005F2B57" w:rsidRPr="00BB239D">
        <w:rPr>
          <w:rFonts w:ascii="Times New Roman" w:eastAsia="Times New Roman" w:hAnsi="Times New Roman" w:cs="Times New Roman"/>
          <w:noProof/>
          <w:lang w:val="en-IE"/>
        </w:rPr>
        <w:t xml:space="preserve">the </w:t>
      </w:r>
      <w:r w:rsidR="00417214" w:rsidRPr="00BB239D">
        <w:rPr>
          <w:rFonts w:ascii="Times New Roman" w:eastAsia="Times New Roman" w:hAnsi="Times New Roman" w:cs="Times New Roman"/>
          <w:noProof/>
          <w:lang w:val="en-IE"/>
        </w:rPr>
        <w:t>ratio between value and weight of goods</w:t>
      </w:r>
      <w:r w:rsidR="008C54F8">
        <w:rPr>
          <w:rFonts w:ascii="Times New Roman" w:eastAsia="Times New Roman" w:hAnsi="Times New Roman" w:cs="Times New Roman"/>
          <w:noProof/>
          <w:lang w:val="en-IE"/>
        </w:rPr>
        <w:t>.</w:t>
      </w:r>
      <w:r w:rsidR="00482A40">
        <w:rPr>
          <w:rFonts w:ascii="Times New Roman" w:eastAsia="Times New Roman" w:hAnsi="Times New Roman" w:cs="Times New Roman"/>
          <w:noProof/>
          <w:lang w:val="en-IE"/>
        </w:rPr>
        <w:t xml:space="preserve"> </w:t>
      </w:r>
      <w:r>
        <w:rPr>
          <w:rFonts w:ascii="Times New Roman" w:eastAsia="Times New Roman" w:hAnsi="Times New Roman" w:cs="Times New Roman"/>
          <w:noProof/>
        </w:rPr>
        <w:t>To account for the specific characteristics of goods with a low ratio of value to weight with regards to the remaining risk of carbon leakage, an opt-in mechanism should be established. While the goods set out in the Annex demonstrate a particularly high Union-wide exposure, this opt-in mechanism should consider national circumstances, including transportation costs</w:t>
      </w:r>
      <w:r>
        <w:rPr>
          <w:rFonts w:ascii="Times New Roman" w:eastAsia="Times New Roman" w:hAnsi="Times New Roman" w:cs="Times New Roman"/>
          <w:noProof/>
          <w:lang w:val="en-IE"/>
        </w:rPr>
        <w:t>. The production of low value/weight goods in</w:t>
      </w:r>
      <w:r w:rsidR="2460278A" w:rsidRPr="00BB239D">
        <w:rPr>
          <w:rFonts w:ascii="Times New Roman" w:eastAsia="Times New Roman" w:hAnsi="Times New Roman" w:cs="Times New Roman"/>
          <w:noProof/>
          <w:lang w:val="en-IE"/>
        </w:rPr>
        <w:t xml:space="preserve"> </w:t>
      </w:r>
      <w:r w:rsidR="62ED7080" w:rsidRPr="00BB239D">
        <w:rPr>
          <w:rFonts w:ascii="Times New Roman" w:eastAsia="Times New Roman" w:hAnsi="Times New Roman" w:cs="Times New Roman"/>
          <w:noProof/>
          <w:lang w:val="en-IE"/>
        </w:rPr>
        <w:t>specific</w:t>
      </w:r>
      <w:r w:rsidR="2460278A" w:rsidRPr="00BB239D">
        <w:rPr>
          <w:rFonts w:ascii="Times New Roman" w:eastAsia="Times New Roman" w:hAnsi="Times New Roman" w:cs="Times New Roman"/>
          <w:noProof/>
          <w:lang w:val="en-IE"/>
        </w:rPr>
        <w:t xml:space="preserve"> </w:t>
      </w:r>
      <w:r w:rsidR="4A271387" w:rsidRPr="00BB239D">
        <w:rPr>
          <w:rFonts w:ascii="Times New Roman" w:eastAsia="Times New Roman" w:hAnsi="Times New Roman" w:cs="Times New Roman"/>
          <w:noProof/>
          <w:lang w:val="en-IE"/>
        </w:rPr>
        <w:t>locations</w:t>
      </w:r>
      <w:r w:rsidR="11FDE133" w:rsidRPr="00BB239D">
        <w:rPr>
          <w:rFonts w:ascii="Times New Roman" w:eastAsia="Times New Roman" w:hAnsi="Times New Roman" w:cs="Times New Roman"/>
          <w:noProof/>
          <w:lang w:val="en-IE"/>
        </w:rPr>
        <w:t xml:space="preserve"> might </w:t>
      </w:r>
      <w:r w:rsidR="53D1F3EA" w:rsidRPr="00BB239D">
        <w:rPr>
          <w:rFonts w:ascii="Times New Roman" w:eastAsia="Times New Roman" w:hAnsi="Times New Roman" w:cs="Times New Roman"/>
          <w:noProof/>
          <w:lang w:val="en-IE"/>
        </w:rPr>
        <w:t xml:space="preserve">have a </w:t>
      </w:r>
      <w:r w:rsidR="4653E04C" w:rsidRPr="00BB239D">
        <w:rPr>
          <w:rFonts w:ascii="Times New Roman" w:eastAsia="Times New Roman" w:hAnsi="Times New Roman" w:cs="Times New Roman"/>
          <w:noProof/>
          <w:lang w:val="en-IE"/>
        </w:rPr>
        <w:t>higher</w:t>
      </w:r>
      <w:r w:rsidR="256926ED" w:rsidRPr="00BB239D">
        <w:rPr>
          <w:rFonts w:ascii="Times New Roman" w:eastAsia="Times New Roman" w:hAnsi="Times New Roman" w:cs="Times New Roman"/>
          <w:noProof/>
          <w:lang w:val="en-IE"/>
        </w:rPr>
        <w:t xml:space="preserve"> </w:t>
      </w:r>
      <w:r w:rsidR="5BB58557" w:rsidRPr="00BB239D">
        <w:rPr>
          <w:rFonts w:ascii="Times New Roman" w:hAnsi="Times New Roman" w:cs="Times New Roman"/>
          <w:noProof/>
        </w:rPr>
        <w:t>remaining</w:t>
      </w:r>
      <w:r w:rsidR="256926ED" w:rsidRPr="00BB239D">
        <w:rPr>
          <w:rFonts w:ascii="Times New Roman" w:eastAsia="Times New Roman" w:hAnsi="Times New Roman" w:cs="Times New Roman"/>
          <w:noProof/>
          <w:lang w:val="en-IE"/>
        </w:rPr>
        <w:t xml:space="preserve"> carbon leakage risk</w:t>
      </w:r>
      <w:r w:rsidR="4DC4E4F7" w:rsidRPr="00BB239D">
        <w:rPr>
          <w:rFonts w:ascii="Times New Roman" w:eastAsia="Times New Roman" w:hAnsi="Times New Roman" w:cs="Times New Roman"/>
          <w:noProof/>
          <w:lang w:val="en-IE"/>
        </w:rPr>
        <w:t>.</w:t>
      </w:r>
    </w:p>
    <w:p w14:paraId="07970C51" w14:textId="7809BFE3" w:rsidR="00800B52" w:rsidRPr="00BB239D" w:rsidRDefault="000E11DF" w:rsidP="00083886">
      <w:pPr>
        <w:spacing w:after="120"/>
        <w:jc w:val="both"/>
        <w:rPr>
          <w:rFonts w:ascii="Times New Roman" w:eastAsia="Aptos" w:hAnsi="Times New Roman" w:cs="Times New Roman"/>
          <w:noProof/>
        </w:rPr>
      </w:pPr>
      <w:r w:rsidRPr="00BB239D">
        <w:rPr>
          <w:rFonts w:ascii="Times New Roman" w:eastAsia="Aptos" w:hAnsi="Times New Roman" w:cs="Times New Roman"/>
          <w:noProof/>
        </w:rPr>
        <w:t xml:space="preserve">Data from Eurostat </w:t>
      </w:r>
      <w:r w:rsidR="00936672" w:rsidRPr="00BB239D">
        <w:rPr>
          <w:rFonts w:ascii="Times New Roman" w:eastAsia="Aptos" w:hAnsi="Times New Roman" w:cs="Times New Roman"/>
          <w:noProof/>
        </w:rPr>
        <w:t xml:space="preserve">(production sold, both in </w:t>
      </w:r>
      <w:r w:rsidR="007D1EBC" w:rsidRPr="00BB239D">
        <w:rPr>
          <w:rFonts w:ascii="Times New Roman" w:eastAsia="Aptos" w:hAnsi="Times New Roman" w:cs="Times New Roman"/>
          <w:noProof/>
        </w:rPr>
        <w:t>value and quantity</w:t>
      </w:r>
      <w:r w:rsidR="00374418" w:rsidRPr="00BB239D">
        <w:rPr>
          <w:rFonts w:ascii="Times New Roman" w:eastAsia="Aptos" w:hAnsi="Times New Roman" w:cs="Times New Roman"/>
          <w:noProof/>
        </w:rPr>
        <w:t>, 2022-2024</w:t>
      </w:r>
      <w:r w:rsidR="00767C1E" w:rsidRPr="00BB239D">
        <w:rPr>
          <w:rFonts w:ascii="Times New Roman" w:eastAsia="Aptos" w:hAnsi="Times New Roman" w:cs="Times New Roman"/>
          <w:noProof/>
        </w:rPr>
        <w:t xml:space="preserve">) is used to </w:t>
      </w:r>
      <w:r w:rsidR="009F4E79" w:rsidRPr="00BB239D">
        <w:rPr>
          <w:rFonts w:ascii="Times New Roman" w:eastAsia="Aptos" w:hAnsi="Times New Roman" w:cs="Times New Roman"/>
          <w:noProof/>
        </w:rPr>
        <w:t>determin</w:t>
      </w:r>
      <w:r w:rsidR="00C555E4" w:rsidRPr="00BB239D">
        <w:rPr>
          <w:rFonts w:ascii="Times New Roman" w:eastAsia="Aptos" w:hAnsi="Times New Roman" w:cs="Times New Roman"/>
          <w:noProof/>
        </w:rPr>
        <w:t xml:space="preserve">e the </w:t>
      </w:r>
      <w:r w:rsidR="007402C3" w:rsidRPr="00BB239D">
        <w:rPr>
          <w:rFonts w:ascii="Times New Roman" w:eastAsia="Aptos" w:hAnsi="Times New Roman" w:cs="Times New Roman"/>
          <w:noProof/>
        </w:rPr>
        <w:t>value/weight ratio per CN code</w:t>
      </w:r>
      <w:r w:rsidR="00374418" w:rsidRPr="00BB239D">
        <w:rPr>
          <w:rFonts w:ascii="Times New Roman" w:eastAsia="Aptos" w:hAnsi="Times New Roman" w:cs="Times New Roman"/>
          <w:noProof/>
        </w:rPr>
        <w:t>.</w:t>
      </w:r>
      <w:r w:rsidR="00792916" w:rsidRPr="00BB239D">
        <w:rPr>
          <w:rFonts w:ascii="Times New Roman" w:eastAsia="Aptos" w:hAnsi="Times New Roman" w:cs="Times New Roman"/>
          <w:noProof/>
        </w:rPr>
        <w:t xml:space="preserve"> </w:t>
      </w:r>
      <w:r w:rsidR="000A7BC1" w:rsidRPr="00BB239D">
        <w:rPr>
          <w:rFonts w:ascii="Times New Roman" w:eastAsia="Aptos" w:hAnsi="Times New Roman" w:cs="Times New Roman"/>
          <w:noProof/>
        </w:rPr>
        <w:t xml:space="preserve">A </w:t>
      </w:r>
      <w:r w:rsidR="00F20077" w:rsidRPr="00BB239D">
        <w:rPr>
          <w:rFonts w:ascii="Times New Roman" w:eastAsia="Aptos" w:hAnsi="Times New Roman" w:cs="Times New Roman"/>
          <w:noProof/>
        </w:rPr>
        <w:t xml:space="preserve">preliminary </w:t>
      </w:r>
      <w:r w:rsidR="000A7BC1" w:rsidRPr="00BB239D">
        <w:rPr>
          <w:rFonts w:ascii="Times New Roman" w:eastAsia="Aptos" w:hAnsi="Times New Roman" w:cs="Times New Roman"/>
          <w:noProof/>
        </w:rPr>
        <w:t xml:space="preserve">threshold of </w:t>
      </w:r>
      <w:r w:rsidR="00D84771" w:rsidRPr="00BB239D">
        <w:rPr>
          <w:rFonts w:ascii="Times New Roman" w:eastAsia="Aptos" w:hAnsi="Times New Roman" w:cs="Times New Roman"/>
          <w:noProof/>
        </w:rPr>
        <w:t>150</w:t>
      </w:r>
      <w:r w:rsidR="00344630">
        <w:rPr>
          <w:rFonts w:ascii="Times New Roman" w:eastAsia="Aptos" w:hAnsi="Times New Roman" w:cs="Times New Roman"/>
          <w:noProof/>
        </w:rPr>
        <w:t xml:space="preserve"> EUR</w:t>
      </w:r>
      <w:r w:rsidR="00D73831" w:rsidRPr="00BB239D">
        <w:rPr>
          <w:rFonts w:ascii="Times New Roman" w:eastAsia="Aptos" w:hAnsi="Times New Roman" w:cs="Times New Roman"/>
          <w:noProof/>
        </w:rPr>
        <w:t xml:space="preserve">/tonne is applied to </w:t>
      </w:r>
      <w:r w:rsidR="007264C6" w:rsidRPr="00BB239D">
        <w:rPr>
          <w:rFonts w:ascii="Times New Roman" w:eastAsia="Aptos" w:hAnsi="Times New Roman" w:cs="Times New Roman"/>
          <w:noProof/>
        </w:rPr>
        <w:t xml:space="preserve">identify goods with </w:t>
      </w:r>
      <w:r w:rsidR="0014393C" w:rsidRPr="00BB239D">
        <w:rPr>
          <w:rFonts w:ascii="Times New Roman" w:eastAsia="Aptos" w:hAnsi="Times New Roman" w:cs="Times New Roman"/>
          <w:noProof/>
        </w:rPr>
        <w:t>a compa</w:t>
      </w:r>
      <w:r w:rsidR="00801147" w:rsidRPr="00BB239D">
        <w:rPr>
          <w:rFonts w:ascii="Times New Roman" w:eastAsia="Aptos" w:hAnsi="Times New Roman" w:cs="Times New Roman"/>
          <w:noProof/>
        </w:rPr>
        <w:t>ratively l</w:t>
      </w:r>
      <w:r w:rsidR="00F70E20" w:rsidRPr="00BB239D">
        <w:rPr>
          <w:rFonts w:ascii="Times New Roman" w:eastAsia="Aptos" w:hAnsi="Times New Roman" w:cs="Times New Roman"/>
          <w:noProof/>
        </w:rPr>
        <w:t xml:space="preserve">ow </w:t>
      </w:r>
      <w:r w:rsidR="003B384B" w:rsidRPr="00BB239D">
        <w:rPr>
          <w:rFonts w:ascii="Times New Roman" w:eastAsia="Aptos" w:hAnsi="Times New Roman" w:cs="Times New Roman"/>
          <w:noProof/>
        </w:rPr>
        <w:t>value/weight ratio</w:t>
      </w:r>
      <w:r w:rsidR="00CD230F" w:rsidRPr="00BB239D">
        <w:rPr>
          <w:rFonts w:ascii="Times New Roman" w:eastAsia="Aptos" w:hAnsi="Times New Roman" w:cs="Times New Roman"/>
          <w:noProof/>
        </w:rPr>
        <w:t xml:space="preserve">. These </w:t>
      </w:r>
      <w:r w:rsidR="000B5272" w:rsidRPr="00BB239D">
        <w:rPr>
          <w:rFonts w:ascii="Times New Roman" w:eastAsia="Aptos" w:hAnsi="Times New Roman" w:cs="Times New Roman"/>
          <w:noProof/>
        </w:rPr>
        <w:t xml:space="preserve">goods </w:t>
      </w:r>
      <w:r w:rsidR="00D2370E" w:rsidRPr="00BB239D">
        <w:rPr>
          <w:rFonts w:ascii="Times New Roman" w:eastAsia="Aptos" w:hAnsi="Times New Roman" w:cs="Times New Roman"/>
          <w:noProof/>
        </w:rPr>
        <w:t xml:space="preserve">can be considered to have </w:t>
      </w:r>
      <w:r w:rsidR="00455A80" w:rsidRPr="00BB239D">
        <w:rPr>
          <w:rFonts w:ascii="Times New Roman" w:eastAsia="Aptos" w:hAnsi="Times New Roman" w:cs="Times New Roman"/>
          <w:noProof/>
        </w:rPr>
        <w:t xml:space="preserve">a </w:t>
      </w:r>
      <w:r w:rsidR="00D2370E" w:rsidRPr="00BB239D">
        <w:rPr>
          <w:rFonts w:ascii="Times New Roman" w:eastAsia="Aptos" w:hAnsi="Times New Roman" w:cs="Times New Roman"/>
          <w:noProof/>
        </w:rPr>
        <w:t>po</w:t>
      </w:r>
      <w:r w:rsidR="007B2C69" w:rsidRPr="00BB239D">
        <w:rPr>
          <w:rFonts w:ascii="Times New Roman" w:eastAsia="Aptos" w:hAnsi="Times New Roman" w:cs="Times New Roman"/>
          <w:noProof/>
        </w:rPr>
        <w:t xml:space="preserve">tentially </w:t>
      </w:r>
      <w:r w:rsidR="00FB3C05" w:rsidRPr="00BB239D">
        <w:rPr>
          <w:rFonts w:ascii="Times New Roman" w:eastAsia="Aptos" w:hAnsi="Times New Roman" w:cs="Times New Roman"/>
          <w:noProof/>
        </w:rPr>
        <w:t>significan</w:t>
      </w:r>
      <w:r w:rsidR="00455A80" w:rsidRPr="00BB239D">
        <w:rPr>
          <w:rFonts w:ascii="Times New Roman" w:eastAsia="Aptos" w:hAnsi="Times New Roman" w:cs="Times New Roman"/>
          <w:noProof/>
        </w:rPr>
        <w:t>tly higher</w:t>
      </w:r>
      <w:r w:rsidR="00D94569" w:rsidRPr="00BB239D">
        <w:rPr>
          <w:rFonts w:ascii="Times New Roman" w:eastAsia="Aptos" w:hAnsi="Times New Roman" w:cs="Times New Roman"/>
          <w:noProof/>
        </w:rPr>
        <w:t xml:space="preserve"> </w:t>
      </w:r>
      <w:r w:rsidR="25E6F17F" w:rsidRPr="00BB239D">
        <w:rPr>
          <w:rFonts w:ascii="Times New Roman" w:hAnsi="Times New Roman" w:cs="Times New Roman"/>
          <w:noProof/>
        </w:rPr>
        <w:t>remaining</w:t>
      </w:r>
      <w:r w:rsidR="00455A80" w:rsidRPr="00BB239D">
        <w:rPr>
          <w:rFonts w:ascii="Times New Roman" w:eastAsia="Aptos" w:hAnsi="Times New Roman" w:cs="Times New Roman"/>
          <w:noProof/>
        </w:rPr>
        <w:t xml:space="preserve"> carbon leakage risk </w:t>
      </w:r>
      <w:r w:rsidR="00CC7D2F" w:rsidRPr="00BB239D">
        <w:rPr>
          <w:rFonts w:ascii="Times New Roman" w:eastAsia="Aptos" w:hAnsi="Times New Roman" w:cs="Times New Roman"/>
          <w:noProof/>
        </w:rPr>
        <w:t xml:space="preserve">when </w:t>
      </w:r>
      <w:r w:rsidR="00266F2D" w:rsidRPr="00BB239D">
        <w:rPr>
          <w:rFonts w:ascii="Times New Roman" w:eastAsia="Aptos" w:hAnsi="Times New Roman" w:cs="Times New Roman"/>
          <w:noProof/>
        </w:rPr>
        <w:t xml:space="preserve">considered at </w:t>
      </w:r>
      <w:r w:rsidR="00230F12" w:rsidRPr="00BB239D">
        <w:rPr>
          <w:rFonts w:ascii="Times New Roman" w:eastAsia="Aptos" w:hAnsi="Times New Roman" w:cs="Times New Roman"/>
          <w:noProof/>
        </w:rPr>
        <w:t>national level.</w:t>
      </w:r>
    </w:p>
    <w:p w14:paraId="52ABF11A" w14:textId="3D78DB98" w:rsidR="00C31211" w:rsidRDefault="00C31211" w:rsidP="00FC29BD">
      <w:pPr>
        <w:pStyle w:val="Caption"/>
        <w:keepNext/>
        <w:jc w:val="both"/>
        <w:rPr>
          <w:noProof/>
        </w:rPr>
      </w:pPr>
      <w:r>
        <w:rPr>
          <w:noProof/>
        </w:rPr>
        <w:t xml:space="preserve">Table 3 </w:t>
      </w:r>
      <w:r w:rsidR="00765C21">
        <w:rPr>
          <w:noProof/>
        </w:rPr>
        <w:t>goods</w:t>
      </w:r>
      <w:r w:rsidRPr="0001658D">
        <w:rPr>
          <w:noProof/>
        </w:rPr>
        <w:t xml:space="preserve"> </w:t>
      </w:r>
      <w:r w:rsidR="00230F12">
        <w:rPr>
          <w:noProof/>
        </w:rPr>
        <w:t xml:space="preserve">considered to potentially have significantly higher </w:t>
      </w:r>
      <w:r w:rsidR="17A33CBE">
        <w:rPr>
          <w:noProof/>
        </w:rPr>
        <w:t>remaining</w:t>
      </w:r>
      <w:r w:rsidR="00765C21">
        <w:rPr>
          <w:noProof/>
        </w:rPr>
        <w:t xml:space="preserve"> </w:t>
      </w:r>
      <w:r w:rsidR="00230F12">
        <w:rPr>
          <w:noProof/>
        </w:rPr>
        <w:t xml:space="preserve">carbon leakage risks at national level, </w:t>
      </w:r>
      <w:r w:rsidRPr="0001658D">
        <w:rPr>
          <w:noProof/>
        </w:rPr>
        <w:t>due to a comparatively low value/weight ratio</w:t>
      </w:r>
    </w:p>
    <w:p w14:paraId="28DE1F23" w14:textId="24165472" w:rsidR="00C469F4" w:rsidRDefault="00C31211" w:rsidP="00083886">
      <w:pPr>
        <w:spacing w:after="120"/>
        <w:jc w:val="both"/>
        <w:rPr>
          <w:rFonts w:ascii="Times New Roman" w:eastAsia="Times New Roman" w:hAnsi="Times New Roman" w:cs="Times New Roman"/>
          <w:noProof/>
          <w:lang w:val="en-IE"/>
        </w:rPr>
      </w:pPr>
      <w:r w:rsidRPr="00C31211">
        <w:rPr>
          <w:rFonts w:ascii="Times New Roman" w:eastAsia="Aptos" w:hAnsi="Times New Roman" w:cs="Times New Roman"/>
          <w:noProof/>
          <w:lang w:eastAsia="en-GB"/>
        </w:rPr>
        <w:drawing>
          <wp:inline distT="0" distB="0" distL="0" distR="0" wp14:anchorId="660EF96C" wp14:editId="242B16CC">
            <wp:extent cx="4791075" cy="1609725"/>
            <wp:effectExtent l="0" t="0" r="9525" b="9525"/>
            <wp:docPr id="1489090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91075" cy="1609725"/>
                    </a:xfrm>
                    <a:prstGeom prst="rect">
                      <a:avLst/>
                    </a:prstGeom>
                    <a:noFill/>
                    <a:ln>
                      <a:noFill/>
                    </a:ln>
                  </pic:spPr>
                </pic:pic>
              </a:graphicData>
            </a:graphic>
          </wp:inline>
        </w:drawing>
      </w:r>
      <w:r w:rsidR="00EB2223">
        <w:rPr>
          <w:rFonts w:ascii="Times New Roman" w:eastAsia="Aptos" w:hAnsi="Times New Roman" w:cs="Times New Roman"/>
          <w:noProof/>
        </w:rPr>
        <w:t xml:space="preserve"> </w:t>
      </w:r>
      <w:r w:rsidR="004A2A8F">
        <w:rPr>
          <w:rFonts w:ascii="Times New Roman" w:eastAsia="Aptos" w:hAnsi="Times New Roman" w:cs="Times New Roman"/>
          <w:noProof/>
        </w:rPr>
        <w:t xml:space="preserve"> </w:t>
      </w:r>
    </w:p>
    <w:p w14:paraId="21691F47" w14:textId="7524FF12" w:rsidR="00083886" w:rsidRDefault="50DF13AF" w:rsidP="00AE1C7A">
      <w:pPr>
        <w:spacing w:after="120"/>
        <w:jc w:val="both"/>
        <w:rPr>
          <w:rFonts w:ascii="Times New Roman" w:eastAsia="Times New Roman" w:hAnsi="Times New Roman" w:cs="Times New Roman"/>
          <w:noProof/>
          <w:lang w:val="en-IE"/>
        </w:rPr>
      </w:pPr>
      <w:r w:rsidRPr="1435B257">
        <w:rPr>
          <w:rFonts w:ascii="Times New Roman" w:eastAsia="Times New Roman" w:hAnsi="Times New Roman" w:cs="Times New Roman"/>
          <w:noProof/>
          <w:lang w:val="en-IE"/>
        </w:rPr>
        <w:t xml:space="preserve">It is </w:t>
      </w:r>
      <w:r w:rsidR="4F477001" w:rsidRPr="1435B257">
        <w:rPr>
          <w:rFonts w:ascii="Times New Roman" w:eastAsia="Times New Roman" w:hAnsi="Times New Roman" w:cs="Times New Roman"/>
          <w:noProof/>
          <w:lang w:val="en-IE"/>
        </w:rPr>
        <w:t>propose</w:t>
      </w:r>
      <w:r w:rsidRPr="1435B257">
        <w:rPr>
          <w:rFonts w:ascii="Times New Roman" w:eastAsia="Times New Roman" w:hAnsi="Times New Roman" w:cs="Times New Roman"/>
          <w:noProof/>
          <w:lang w:val="en-IE"/>
        </w:rPr>
        <w:t>d</w:t>
      </w:r>
      <w:r w:rsidR="4F477001" w:rsidRPr="1435B257">
        <w:rPr>
          <w:rFonts w:ascii="Times New Roman" w:eastAsia="Times New Roman" w:hAnsi="Times New Roman" w:cs="Times New Roman"/>
          <w:noProof/>
          <w:lang w:val="en-IE"/>
        </w:rPr>
        <w:t xml:space="preserve"> to </w:t>
      </w:r>
      <w:r w:rsidR="2FDC59F3" w:rsidRPr="1435B257">
        <w:rPr>
          <w:rFonts w:ascii="Times New Roman" w:eastAsia="Times New Roman" w:hAnsi="Times New Roman" w:cs="Times New Roman"/>
          <w:noProof/>
          <w:lang w:val="en-IE"/>
        </w:rPr>
        <w:t>address</w:t>
      </w:r>
      <w:r w:rsidR="4F477001" w:rsidRPr="1435B257">
        <w:rPr>
          <w:rFonts w:ascii="Times New Roman" w:eastAsia="Times New Roman" w:hAnsi="Times New Roman" w:cs="Times New Roman"/>
          <w:noProof/>
          <w:lang w:val="en-IE"/>
        </w:rPr>
        <w:t xml:space="preserve"> the associated risk through an opt-in mechanism, allowing Member States to </w:t>
      </w:r>
      <w:r w:rsidR="04D73C10" w:rsidRPr="1435B257">
        <w:rPr>
          <w:rFonts w:ascii="Times New Roman" w:eastAsia="Times New Roman" w:hAnsi="Times New Roman" w:cs="Times New Roman"/>
          <w:noProof/>
          <w:lang w:val="en-IE"/>
        </w:rPr>
        <w:t xml:space="preserve">apply for the inclusion of </w:t>
      </w:r>
      <w:r w:rsidR="4F477001" w:rsidRPr="1435B257">
        <w:rPr>
          <w:rFonts w:ascii="Times New Roman" w:eastAsia="Times New Roman" w:hAnsi="Times New Roman" w:cs="Times New Roman"/>
          <w:noProof/>
          <w:lang w:val="en-IE"/>
        </w:rPr>
        <w:t>certain CN codes covered by CBAM</w:t>
      </w:r>
      <w:r w:rsidR="008E6473">
        <w:rPr>
          <w:rFonts w:ascii="Times New Roman" w:eastAsia="Times New Roman" w:hAnsi="Times New Roman" w:cs="Times New Roman"/>
          <w:noProof/>
          <w:lang w:val="en-IE"/>
        </w:rPr>
        <w:t xml:space="preserve"> with a </w:t>
      </w:r>
      <w:r w:rsidR="002874B6">
        <w:rPr>
          <w:rFonts w:ascii="Times New Roman" w:eastAsia="Times New Roman" w:hAnsi="Times New Roman" w:cs="Times New Roman"/>
          <w:noProof/>
          <w:lang w:val="en-IE"/>
        </w:rPr>
        <w:t>low</w:t>
      </w:r>
      <w:r w:rsidR="008E6473">
        <w:rPr>
          <w:rFonts w:ascii="Times New Roman" w:eastAsia="Times New Roman" w:hAnsi="Times New Roman" w:cs="Times New Roman"/>
          <w:noProof/>
          <w:lang w:val="en-IE"/>
        </w:rPr>
        <w:t xml:space="preserve"> value</w:t>
      </w:r>
      <w:r w:rsidR="00CB09A6">
        <w:rPr>
          <w:rFonts w:ascii="Times New Roman" w:eastAsia="Times New Roman" w:hAnsi="Times New Roman" w:cs="Times New Roman"/>
          <w:noProof/>
          <w:lang w:val="en-IE"/>
        </w:rPr>
        <w:t>/</w:t>
      </w:r>
      <w:r w:rsidR="008E6473">
        <w:rPr>
          <w:rFonts w:ascii="Times New Roman" w:eastAsia="Times New Roman" w:hAnsi="Times New Roman" w:cs="Times New Roman"/>
          <w:noProof/>
          <w:lang w:val="en-IE"/>
        </w:rPr>
        <w:t xml:space="preserve">weight ratio </w:t>
      </w:r>
      <w:r w:rsidR="04D73C10" w:rsidRPr="1435B257">
        <w:rPr>
          <w:rFonts w:ascii="Times New Roman" w:eastAsia="Times New Roman" w:hAnsi="Times New Roman" w:cs="Times New Roman"/>
          <w:noProof/>
          <w:lang w:val="en-IE"/>
        </w:rPr>
        <w:t xml:space="preserve">in </w:t>
      </w:r>
      <w:r w:rsidR="4F477001" w:rsidRPr="1435B257">
        <w:rPr>
          <w:rFonts w:ascii="Times New Roman" w:eastAsia="Times New Roman" w:hAnsi="Times New Roman" w:cs="Times New Roman"/>
          <w:noProof/>
          <w:lang w:val="en-IE"/>
        </w:rPr>
        <w:t xml:space="preserve">the proposed measure if they can demonstrate that </w:t>
      </w:r>
      <w:r>
        <w:rPr>
          <w:rFonts w:ascii="Times New Roman" w:eastAsia="Times New Roman" w:hAnsi="Times New Roman" w:cs="Times New Roman"/>
          <w:noProof/>
          <w:lang w:val="en-IE"/>
        </w:rPr>
        <w:t>the eligibility criteria foreseen for the Annex of the Regulation are fulfilled at national level.</w:t>
      </w:r>
      <w:r w:rsidR="00721281">
        <w:rPr>
          <w:rFonts w:ascii="Times New Roman" w:eastAsia="Times New Roman" w:hAnsi="Times New Roman" w:cs="Times New Roman"/>
          <w:noProof/>
          <w:lang w:val="en-IE"/>
        </w:rPr>
        <w:t xml:space="preserve"> </w:t>
      </w:r>
      <w:r w:rsidR="4F477001" w:rsidRPr="1435B257">
        <w:rPr>
          <w:rFonts w:ascii="Times New Roman" w:eastAsia="Times New Roman" w:hAnsi="Times New Roman" w:cs="Times New Roman"/>
          <w:noProof/>
          <w:lang w:val="en-IE"/>
        </w:rPr>
        <w:t>This allows for equal treatment between producers</w:t>
      </w:r>
      <w:r w:rsidR="00D86944">
        <w:rPr>
          <w:rFonts w:ascii="Times New Roman" w:eastAsia="Times New Roman" w:hAnsi="Times New Roman" w:cs="Times New Roman"/>
          <w:noProof/>
          <w:lang w:val="en-IE"/>
        </w:rPr>
        <w:t xml:space="preserve"> of the same </w:t>
      </w:r>
      <w:r w:rsidR="00BE1907">
        <w:rPr>
          <w:rFonts w:ascii="Times New Roman" w:eastAsia="Times New Roman" w:hAnsi="Times New Roman" w:cs="Times New Roman"/>
          <w:noProof/>
          <w:lang w:val="en-IE"/>
        </w:rPr>
        <w:t>goods</w:t>
      </w:r>
      <w:r w:rsidR="4F477001" w:rsidRPr="1435B257">
        <w:rPr>
          <w:rFonts w:ascii="Times New Roman" w:eastAsia="Times New Roman" w:hAnsi="Times New Roman" w:cs="Times New Roman"/>
          <w:noProof/>
          <w:lang w:val="en-IE"/>
        </w:rPr>
        <w:t xml:space="preserve"> within a Member State. It also represents a compromise compared to a more distorti</w:t>
      </w:r>
      <w:r w:rsidR="4EE115DA" w:rsidRPr="1435B257">
        <w:rPr>
          <w:rFonts w:ascii="Times New Roman" w:eastAsia="Times New Roman" w:hAnsi="Times New Roman" w:cs="Times New Roman"/>
          <w:noProof/>
          <w:lang w:val="en-IE"/>
        </w:rPr>
        <w:t>ve</w:t>
      </w:r>
      <w:r w:rsidR="4F477001" w:rsidRPr="1435B257">
        <w:rPr>
          <w:rFonts w:ascii="Times New Roman" w:eastAsia="Times New Roman" w:hAnsi="Times New Roman" w:cs="Times New Roman"/>
          <w:noProof/>
          <w:lang w:val="en-IE"/>
        </w:rPr>
        <w:t xml:space="preserve"> and burdensome alternative of assessing leakage risk for individual installations. </w:t>
      </w:r>
    </w:p>
    <w:p w14:paraId="3E6E0F66" w14:textId="77777777" w:rsidR="00C859A6" w:rsidRPr="00F97C6C" w:rsidRDefault="00C859A6" w:rsidP="00AE1C7A">
      <w:pPr>
        <w:spacing w:after="120"/>
        <w:jc w:val="both"/>
        <w:rPr>
          <w:rFonts w:ascii="Times New Roman" w:eastAsia="Times New Roman" w:hAnsi="Times New Roman" w:cs="Times New Roman"/>
          <w:noProof/>
          <w:lang w:val="en-IE"/>
        </w:rPr>
      </w:pPr>
    </w:p>
    <w:p w14:paraId="6E80AB5C" w14:textId="35AE99F1" w:rsidR="00EF7FAC" w:rsidRDefault="003A2C0B" w:rsidP="0042793A">
      <w:pPr>
        <w:pStyle w:val="Heading2"/>
        <w:numPr>
          <w:ilvl w:val="0"/>
          <w:numId w:val="2"/>
        </w:numPr>
        <w:spacing w:after="240" w:line="240" w:lineRule="auto"/>
        <w:ind w:left="357" w:hanging="357"/>
        <w:jc w:val="both"/>
        <w:rPr>
          <w:rFonts w:ascii="Times New Roman" w:eastAsia="Times New Roman" w:hAnsi="Times New Roman" w:cs="Times New Roman"/>
          <w:noProof/>
          <w:lang w:val="en-IE"/>
        </w:rPr>
      </w:pPr>
      <w:bookmarkStart w:id="29" w:name="_Toc224218965"/>
      <w:bookmarkStart w:id="30" w:name="_Toc214972110"/>
      <w:r>
        <w:rPr>
          <w:rFonts w:ascii="Times New Roman" w:eastAsia="Times New Roman" w:hAnsi="Times New Roman" w:cs="Times New Roman"/>
          <w:noProof/>
          <w:lang w:val="en-IE"/>
        </w:rPr>
        <w:t xml:space="preserve">Proposed </w:t>
      </w:r>
      <w:r w:rsidR="0059536F">
        <w:rPr>
          <w:rFonts w:ascii="Times New Roman" w:eastAsia="Times New Roman" w:hAnsi="Times New Roman" w:cs="Times New Roman"/>
          <w:noProof/>
          <w:lang w:val="en-IE"/>
        </w:rPr>
        <w:t xml:space="preserve">conditionality </w:t>
      </w:r>
      <w:r w:rsidR="0036338B">
        <w:rPr>
          <w:rFonts w:ascii="Times New Roman" w:eastAsia="Times New Roman" w:hAnsi="Times New Roman" w:cs="Times New Roman"/>
          <w:noProof/>
          <w:lang w:val="en-IE"/>
        </w:rPr>
        <w:t>design</w:t>
      </w:r>
      <w:bookmarkEnd w:id="29"/>
      <w:bookmarkEnd w:id="30"/>
    </w:p>
    <w:p w14:paraId="318F1B6B" w14:textId="31FC3641" w:rsidR="0036338B" w:rsidRPr="00BB239D" w:rsidRDefault="6FB7E915" w:rsidP="1435B257">
      <w:pPr>
        <w:spacing w:after="120"/>
        <w:jc w:val="both"/>
        <w:rPr>
          <w:rFonts w:ascii="Times New Roman" w:eastAsia="Times New Roman" w:hAnsi="Times New Roman" w:cs="Times New Roman"/>
          <w:noProof/>
          <w:lang w:val="en-IE"/>
        </w:rPr>
      </w:pPr>
      <w:r w:rsidRPr="00BB239D">
        <w:rPr>
          <w:rFonts w:ascii="Times New Roman" w:eastAsia="Times New Roman" w:hAnsi="Times New Roman" w:cs="Times New Roman"/>
          <w:noProof/>
          <w:lang w:val="en-IE"/>
        </w:rPr>
        <w:t xml:space="preserve">The objective of the proposed </w:t>
      </w:r>
      <w:r w:rsidR="0017785E">
        <w:rPr>
          <w:rFonts w:ascii="Times New Roman" w:eastAsia="Times New Roman" w:hAnsi="Times New Roman" w:cs="Times New Roman"/>
          <w:noProof/>
          <w:lang w:val="en-IE"/>
        </w:rPr>
        <w:t>T</w:t>
      </w:r>
      <w:r w:rsidRPr="00BB239D">
        <w:rPr>
          <w:rFonts w:ascii="Times New Roman" w:eastAsia="Times New Roman" w:hAnsi="Times New Roman" w:cs="Times New Roman"/>
          <w:noProof/>
          <w:lang w:val="en-IE"/>
        </w:rPr>
        <w:t xml:space="preserve">emporary </w:t>
      </w:r>
      <w:r w:rsidR="0017785E">
        <w:rPr>
          <w:rFonts w:ascii="Times New Roman" w:eastAsia="Times New Roman" w:hAnsi="Times New Roman" w:cs="Times New Roman"/>
          <w:noProof/>
          <w:lang w:val="en-IE"/>
        </w:rPr>
        <w:t>D</w:t>
      </w:r>
      <w:r w:rsidRPr="00BB239D">
        <w:rPr>
          <w:rFonts w:ascii="Times New Roman" w:eastAsia="Times New Roman" w:hAnsi="Times New Roman" w:cs="Times New Roman"/>
          <w:noProof/>
          <w:lang w:val="en-IE"/>
        </w:rPr>
        <w:t xml:space="preserve">ecarbonisation </w:t>
      </w:r>
      <w:r w:rsidR="0017785E">
        <w:rPr>
          <w:rFonts w:ascii="Times New Roman" w:eastAsia="Times New Roman" w:hAnsi="Times New Roman" w:cs="Times New Roman"/>
          <w:noProof/>
          <w:lang w:val="en-IE"/>
        </w:rPr>
        <w:t>F</w:t>
      </w:r>
      <w:r w:rsidRPr="00BB239D">
        <w:rPr>
          <w:rFonts w:ascii="Times New Roman" w:eastAsia="Times New Roman" w:hAnsi="Times New Roman" w:cs="Times New Roman"/>
          <w:noProof/>
          <w:lang w:val="en-IE"/>
        </w:rPr>
        <w:t xml:space="preserve">und is to </w:t>
      </w:r>
      <w:r w:rsidR="60AB026E" w:rsidRPr="00BB239D">
        <w:rPr>
          <w:rFonts w:ascii="Times New Roman" w:eastAsia="Times New Roman" w:hAnsi="Times New Roman" w:cs="Times New Roman"/>
          <w:noProof/>
          <w:lang w:val="en-IE"/>
        </w:rPr>
        <w:t xml:space="preserve">financially </w:t>
      </w:r>
      <w:r w:rsidRPr="00BB239D">
        <w:rPr>
          <w:rFonts w:ascii="Times New Roman" w:eastAsia="Times New Roman" w:hAnsi="Times New Roman" w:cs="Times New Roman"/>
          <w:noProof/>
          <w:lang w:val="en-IE"/>
        </w:rPr>
        <w:t xml:space="preserve">support </w:t>
      </w:r>
      <w:r w:rsidR="60AB026E" w:rsidRPr="00BB239D">
        <w:rPr>
          <w:rFonts w:ascii="Times New Roman" w:eastAsia="Times New Roman" w:hAnsi="Times New Roman" w:cs="Times New Roman"/>
          <w:noProof/>
          <w:lang w:val="en-IE"/>
        </w:rPr>
        <w:t>effective decarbonisation investments by</w:t>
      </w:r>
      <w:r w:rsidRPr="00BB239D">
        <w:rPr>
          <w:rFonts w:ascii="Times New Roman" w:eastAsia="Times New Roman" w:hAnsi="Times New Roman" w:cs="Times New Roman"/>
          <w:noProof/>
          <w:lang w:val="en-IE"/>
        </w:rPr>
        <w:t xml:space="preserve"> EU ETS operators </w:t>
      </w:r>
      <w:r w:rsidR="346616AD" w:rsidRPr="00BB239D">
        <w:rPr>
          <w:rFonts w:ascii="Times New Roman" w:eastAsia="Times New Roman" w:hAnsi="Times New Roman" w:cs="Times New Roman"/>
          <w:noProof/>
          <w:lang w:val="en-IE"/>
        </w:rPr>
        <w:t xml:space="preserve">producing goods which </w:t>
      </w:r>
      <w:r w:rsidR="006F599B" w:rsidRPr="00BB239D">
        <w:rPr>
          <w:rFonts w:ascii="Times New Roman" w:eastAsia="Times New Roman" w:hAnsi="Times New Roman" w:cs="Times New Roman"/>
          <w:noProof/>
          <w:lang w:val="en-IE"/>
        </w:rPr>
        <w:t>bear</w:t>
      </w:r>
      <w:r w:rsidR="00ED21DF" w:rsidRPr="00BB239D">
        <w:rPr>
          <w:rFonts w:ascii="Times New Roman" w:eastAsia="Times New Roman" w:hAnsi="Times New Roman" w:cs="Times New Roman"/>
          <w:noProof/>
          <w:lang w:val="en-IE"/>
        </w:rPr>
        <w:t xml:space="preserve"> </w:t>
      </w:r>
      <w:r w:rsidRPr="00BB239D">
        <w:rPr>
          <w:rFonts w:ascii="Times New Roman" w:eastAsia="Times New Roman" w:hAnsi="Times New Roman" w:cs="Times New Roman"/>
          <w:noProof/>
          <w:lang w:val="en-IE"/>
        </w:rPr>
        <w:t xml:space="preserve">a significant </w:t>
      </w:r>
      <w:r w:rsidR="23AAD8BC" w:rsidRPr="00BB239D">
        <w:rPr>
          <w:rFonts w:ascii="Times New Roman" w:hAnsi="Times New Roman" w:cs="Times New Roman"/>
          <w:noProof/>
        </w:rPr>
        <w:t>remaining</w:t>
      </w:r>
      <w:r w:rsidRPr="00BB239D">
        <w:rPr>
          <w:rFonts w:ascii="Times New Roman" w:eastAsia="Times New Roman" w:hAnsi="Times New Roman" w:cs="Times New Roman"/>
          <w:noProof/>
          <w:lang w:val="en-IE"/>
        </w:rPr>
        <w:t xml:space="preserve"> carbon leakage risk. The definition of ‘conditionality’ requirements attached to the provision of financial support is thus a central element of the proposed fund. </w:t>
      </w:r>
      <w:r w:rsidR="19461EE9" w:rsidRPr="00BB239D">
        <w:rPr>
          <w:rFonts w:ascii="Times New Roman" w:eastAsia="Times New Roman" w:hAnsi="Times New Roman" w:cs="Times New Roman"/>
          <w:noProof/>
          <w:lang w:val="en-IE"/>
        </w:rPr>
        <w:t xml:space="preserve">Making support conditional upon </w:t>
      </w:r>
      <w:r w:rsidR="17694129" w:rsidRPr="00BB239D">
        <w:rPr>
          <w:rFonts w:ascii="Times New Roman" w:eastAsia="Times New Roman" w:hAnsi="Times New Roman" w:cs="Times New Roman"/>
          <w:noProof/>
          <w:lang w:val="en-IE"/>
        </w:rPr>
        <w:t>investment reflects</w:t>
      </w:r>
      <w:r w:rsidR="261F345A" w:rsidRPr="00BB239D">
        <w:rPr>
          <w:rFonts w:ascii="Times New Roman" w:eastAsia="Times New Roman" w:hAnsi="Times New Roman" w:cs="Times New Roman"/>
          <w:noProof/>
          <w:lang w:val="en-IE"/>
        </w:rPr>
        <w:t xml:space="preserve"> a growing practice </w:t>
      </w:r>
      <w:r w:rsidR="008A3F12" w:rsidRPr="00BB239D">
        <w:rPr>
          <w:rFonts w:ascii="Times New Roman" w:eastAsia="Times New Roman" w:hAnsi="Times New Roman" w:cs="Times New Roman"/>
          <w:noProof/>
          <w:lang w:val="en-IE"/>
        </w:rPr>
        <w:t>both in State aid guidelines</w:t>
      </w:r>
      <w:r w:rsidR="00176B3F" w:rsidRPr="00BB239D">
        <w:rPr>
          <w:rStyle w:val="FootnoteReference"/>
          <w:rFonts w:ascii="Times New Roman" w:eastAsia="Times New Roman" w:hAnsi="Times New Roman" w:cs="Times New Roman"/>
          <w:noProof/>
          <w:lang w:val="en-IE"/>
        </w:rPr>
        <w:footnoteReference w:id="13"/>
      </w:r>
      <w:r w:rsidR="261F345A" w:rsidRPr="00BB239D">
        <w:rPr>
          <w:rFonts w:ascii="Times New Roman" w:eastAsia="Times New Roman" w:hAnsi="Times New Roman" w:cs="Times New Roman"/>
          <w:noProof/>
          <w:lang w:val="en-IE"/>
        </w:rPr>
        <w:t xml:space="preserve"> </w:t>
      </w:r>
      <w:r w:rsidR="553B4E6A" w:rsidRPr="00BB239D">
        <w:rPr>
          <w:rFonts w:ascii="Times New Roman" w:eastAsia="Times New Roman" w:hAnsi="Times New Roman" w:cs="Times New Roman"/>
          <w:noProof/>
          <w:lang w:val="en-IE"/>
        </w:rPr>
        <w:t>and in the ETS Directive</w:t>
      </w:r>
      <w:r w:rsidR="004614C3" w:rsidRPr="00BB239D">
        <w:rPr>
          <w:rFonts w:ascii="Times New Roman" w:eastAsia="Times New Roman" w:hAnsi="Times New Roman" w:cs="Times New Roman"/>
          <w:noProof/>
          <w:lang w:val="en-IE"/>
        </w:rPr>
        <w:t>.</w:t>
      </w:r>
    </w:p>
    <w:p w14:paraId="5A1B93E3" w14:textId="275A47CE" w:rsidR="0036338B" w:rsidRPr="00BB239D" w:rsidRDefault="0036338B" w:rsidP="0036338B">
      <w:pPr>
        <w:spacing w:after="120"/>
        <w:jc w:val="both"/>
        <w:rPr>
          <w:rFonts w:ascii="Times New Roman" w:eastAsia="Times New Roman" w:hAnsi="Times New Roman" w:cs="Times New Roman"/>
          <w:noProof/>
          <w:lang w:val="en-IE"/>
        </w:rPr>
      </w:pPr>
      <w:r w:rsidRPr="00BB239D">
        <w:rPr>
          <w:rFonts w:ascii="Times New Roman" w:eastAsia="Times New Roman" w:hAnsi="Times New Roman" w:cs="Times New Roman"/>
          <w:noProof/>
          <w:lang w:val="en-IE"/>
        </w:rPr>
        <w:t xml:space="preserve">To limit the administrative burden of the new measure, </w:t>
      </w:r>
      <w:r w:rsidR="005B4DFA" w:rsidRPr="00BB239D">
        <w:rPr>
          <w:rFonts w:ascii="Times New Roman" w:eastAsia="Times New Roman" w:hAnsi="Times New Roman" w:cs="Times New Roman"/>
          <w:noProof/>
          <w:lang w:val="en-IE"/>
        </w:rPr>
        <w:t>and to capitalise on already existing administrative ‘infrastructure’ and data reported for the purpose of free allocation under the EU</w:t>
      </w:r>
      <w:r>
        <w:rPr>
          <w:rFonts w:ascii="Times New Roman" w:eastAsia="Times New Roman" w:hAnsi="Times New Roman" w:cs="Times New Roman"/>
          <w:noProof/>
          <w:lang w:val="en-IE"/>
        </w:rPr>
        <w:t xml:space="preserve"> </w:t>
      </w:r>
      <w:r w:rsidR="005B4DFA" w:rsidRPr="00BB239D">
        <w:rPr>
          <w:rFonts w:ascii="Times New Roman" w:eastAsia="Times New Roman" w:hAnsi="Times New Roman" w:cs="Times New Roman"/>
          <w:noProof/>
          <w:lang w:val="en-IE"/>
        </w:rPr>
        <w:t>ETS, various</w:t>
      </w:r>
      <w:r w:rsidRPr="00BB239D">
        <w:rPr>
          <w:rFonts w:ascii="Times New Roman" w:eastAsia="Times New Roman" w:hAnsi="Times New Roman" w:cs="Times New Roman"/>
          <w:noProof/>
          <w:lang w:val="en-IE"/>
        </w:rPr>
        <w:t xml:space="preserve"> options that build on existing frameworks – from State aid and free allocation practice –</w:t>
      </w:r>
      <w:r w:rsidR="00D00D8F" w:rsidRPr="00BB239D">
        <w:rPr>
          <w:rFonts w:ascii="Times New Roman" w:eastAsia="Times New Roman" w:hAnsi="Times New Roman" w:cs="Times New Roman"/>
          <w:noProof/>
          <w:lang w:val="en-IE"/>
        </w:rPr>
        <w:t xml:space="preserve"> were explored</w:t>
      </w:r>
      <w:r w:rsidRPr="00BB239D">
        <w:rPr>
          <w:rFonts w:ascii="Times New Roman" w:eastAsia="Times New Roman" w:hAnsi="Times New Roman" w:cs="Times New Roman"/>
          <w:noProof/>
          <w:lang w:val="en-IE"/>
        </w:rPr>
        <w:t xml:space="preserve">. </w:t>
      </w:r>
      <w:r w:rsidR="00FA588C" w:rsidRPr="00BB239D">
        <w:rPr>
          <w:rFonts w:ascii="Times New Roman" w:eastAsia="Times New Roman" w:hAnsi="Times New Roman" w:cs="Times New Roman"/>
          <w:noProof/>
          <w:lang w:val="en-IE"/>
        </w:rPr>
        <w:t xml:space="preserve">Building on a combination of </w:t>
      </w:r>
      <w:r w:rsidRPr="00BB239D">
        <w:rPr>
          <w:rFonts w:ascii="Times New Roman" w:eastAsia="Times New Roman" w:hAnsi="Times New Roman" w:cs="Times New Roman"/>
          <w:noProof/>
          <w:lang w:val="en-IE"/>
        </w:rPr>
        <w:t>elements from those frameworks</w:t>
      </w:r>
      <w:r w:rsidR="00FA588C" w:rsidRPr="00BB239D">
        <w:rPr>
          <w:rFonts w:ascii="Times New Roman" w:eastAsia="Times New Roman" w:hAnsi="Times New Roman" w:cs="Times New Roman"/>
          <w:noProof/>
          <w:lang w:val="en-IE"/>
        </w:rPr>
        <w:t xml:space="preserve">, a design </w:t>
      </w:r>
      <w:r w:rsidR="00C86736">
        <w:rPr>
          <w:rFonts w:ascii="Times New Roman" w:eastAsia="Times New Roman" w:hAnsi="Times New Roman" w:cs="Times New Roman"/>
          <w:noProof/>
          <w:lang w:val="en-IE"/>
        </w:rPr>
        <w:t xml:space="preserve">making best use of </w:t>
      </w:r>
      <w:r w:rsidR="009C5532">
        <w:rPr>
          <w:rFonts w:ascii="Times New Roman" w:eastAsia="Times New Roman" w:hAnsi="Times New Roman" w:cs="Times New Roman"/>
          <w:noProof/>
          <w:lang w:val="en-IE"/>
        </w:rPr>
        <w:t>already reported info</w:t>
      </w:r>
      <w:r w:rsidR="0008548D">
        <w:rPr>
          <w:rFonts w:ascii="Times New Roman" w:eastAsia="Times New Roman" w:hAnsi="Times New Roman" w:cs="Times New Roman"/>
          <w:noProof/>
          <w:lang w:val="en-IE"/>
        </w:rPr>
        <w:t>rmation</w:t>
      </w:r>
      <w:r w:rsidR="009C5532">
        <w:rPr>
          <w:rFonts w:ascii="Times New Roman" w:eastAsia="Times New Roman" w:hAnsi="Times New Roman" w:cs="Times New Roman"/>
          <w:noProof/>
          <w:lang w:val="en-IE"/>
        </w:rPr>
        <w:t xml:space="preserve"> </w:t>
      </w:r>
      <w:r w:rsidR="00FA588C" w:rsidRPr="00BB239D">
        <w:rPr>
          <w:rFonts w:ascii="Times New Roman" w:eastAsia="Times New Roman" w:hAnsi="Times New Roman" w:cs="Times New Roman"/>
          <w:noProof/>
          <w:lang w:val="en-IE"/>
        </w:rPr>
        <w:t xml:space="preserve">is proposed </w:t>
      </w:r>
      <w:r w:rsidRPr="00BB239D">
        <w:rPr>
          <w:rFonts w:ascii="Times New Roman" w:eastAsia="Times New Roman" w:hAnsi="Times New Roman" w:cs="Times New Roman"/>
          <w:noProof/>
          <w:lang w:val="en-IE"/>
        </w:rPr>
        <w:t>that would allow companies to choose between the following:</w:t>
      </w:r>
    </w:p>
    <w:p w14:paraId="3C6456FB" w14:textId="4A5B7C7D" w:rsidR="00235633" w:rsidRPr="00BB239D" w:rsidRDefault="00C45CD3" w:rsidP="00946D67">
      <w:pPr>
        <w:pStyle w:val="ListParagraph"/>
        <w:numPr>
          <w:ilvl w:val="0"/>
          <w:numId w:val="9"/>
        </w:numPr>
        <w:spacing w:after="120"/>
        <w:jc w:val="both"/>
        <w:rPr>
          <w:rFonts w:ascii="Times New Roman" w:eastAsia="Times New Roman" w:hAnsi="Times New Roman" w:cs="Times New Roman"/>
          <w:noProof/>
          <w:lang w:val="en-IE"/>
        </w:rPr>
      </w:pPr>
      <w:r w:rsidRPr="00BB239D">
        <w:rPr>
          <w:rFonts w:ascii="Times New Roman" w:eastAsia="Times New Roman" w:hAnsi="Times New Roman" w:cs="Times New Roman"/>
          <w:noProof/>
          <w:lang w:val="en-IE"/>
        </w:rPr>
        <w:t xml:space="preserve">For </w:t>
      </w:r>
      <w:r w:rsidR="006F62A7" w:rsidRPr="00BB239D">
        <w:rPr>
          <w:rFonts w:ascii="Times New Roman" w:eastAsia="Times New Roman" w:hAnsi="Times New Roman" w:cs="Times New Roman"/>
          <w:noProof/>
          <w:lang w:val="en-IE"/>
        </w:rPr>
        <w:t>operators covered by the obligation to conduct an energy audit under the Energy Efficiency Directive (EED)</w:t>
      </w:r>
      <w:r w:rsidR="006F62A7" w:rsidRPr="00BB239D">
        <w:rPr>
          <w:rStyle w:val="FootnoteReference"/>
          <w:rFonts w:ascii="Times New Roman" w:eastAsia="Times New Roman" w:hAnsi="Times New Roman" w:cs="Times New Roman"/>
          <w:noProof/>
          <w:lang w:val="en-IE"/>
        </w:rPr>
        <w:footnoteReference w:id="14"/>
      </w:r>
      <w:r w:rsidR="006F62A7" w:rsidRPr="00BB239D">
        <w:rPr>
          <w:rFonts w:ascii="Times New Roman" w:eastAsia="Times New Roman" w:hAnsi="Times New Roman" w:cs="Times New Roman"/>
          <w:noProof/>
          <w:lang w:val="en-IE"/>
        </w:rPr>
        <w:t xml:space="preserve">: </w:t>
      </w:r>
      <w:r w:rsidR="33BF915C" w:rsidRPr="00BB239D">
        <w:rPr>
          <w:rFonts w:ascii="Times New Roman" w:eastAsia="Times New Roman" w:hAnsi="Times New Roman" w:cs="Times New Roman"/>
          <w:noProof/>
          <w:lang w:val="en-IE"/>
        </w:rPr>
        <w:t xml:space="preserve">The demonstration of the implementation </w:t>
      </w:r>
      <w:r w:rsidR="6B773E75" w:rsidRPr="00BB239D">
        <w:rPr>
          <w:rFonts w:ascii="Times New Roman" w:eastAsia="Times New Roman" w:hAnsi="Times New Roman" w:cs="Times New Roman"/>
          <w:noProof/>
          <w:lang w:val="en-IE"/>
        </w:rPr>
        <w:t xml:space="preserve">of all recommendations under </w:t>
      </w:r>
      <w:r w:rsidR="31265F68" w:rsidRPr="00BB239D">
        <w:rPr>
          <w:rFonts w:ascii="Times New Roman" w:eastAsia="Times New Roman" w:hAnsi="Times New Roman" w:cs="Times New Roman"/>
          <w:noProof/>
          <w:lang w:val="en-IE"/>
        </w:rPr>
        <w:t>Article 11 of Directive 2023/1791/EC</w:t>
      </w:r>
      <w:r w:rsidR="094A071F" w:rsidRPr="00BB239D">
        <w:rPr>
          <w:rFonts w:ascii="Times New Roman" w:eastAsia="Times New Roman" w:hAnsi="Times New Roman" w:cs="Times New Roman"/>
          <w:noProof/>
          <w:lang w:val="en-IE"/>
        </w:rPr>
        <w:t xml:space="preserve"> or alternatively that the pay-back time for the relevant investments exceeds </w:t>
      </w:r>
      <w:r>
        <w:rPr>
          <w:rFonts w:ascii="Times New Roman" w:eastAsia="Times New Roman" w:hAnsi="Times New Roman" w:cs="Times New Roman"/>
          <w:noProof/>
          <w:lang w:val="en-IE"/>
        </w:rPr>
        <w:t>five</w:t>
      </w:r>
      <w:r w:rsidR="00E2413C" w:rsidRPr="00BB239D">
        <w:rPr>
          <w:rFonts w:ascii="Times New Roman" w:eastAsia="Times New Roman" w:hAnsi="Times New Roman" w:cs="Times New Roman"/>
          <w:noProof/>
          <w:lang w:val="en-IE"/>
        </w:rPr>
        <w:t xml:space="preserve"> </w:t>
      </w:r>
      <w:r w:rsidR="094A071F" w:rsidRPr="00BB239D">
        <w:rPr>
          <w:rFonts w:ascii="Times New Roman" w:eastAsia="Times New Roman" w:hAnsi="Times New Roman" w:cs="Times New Roman"/>
          <w:noProof/>
          <w:lang w:val="en-IE"/>
        </w:rPr>
        <w:t xml:space="preserve">years or that the cost of those investments </w:t>
      </w:r>
      <w:r w:rsidR="26040722" w:rsidRPr="00BB239D">
        <w:rPr>
          <w:rFonts w:ascii="Times New Roman" w:eastAsia="Times New Roman" w:hAnsi="Times New Roman" w:cs="Times New Roman"/>
          <w:noProof/>
          <w:lang w:val="en-IE"/>
        </w:rPr>
        <w:t>is</w:t>
      </w:r>
      <w:r w:rsidR="094A071F" w:rsidRPr="00BB239D">
        <w:rPr>
          <w:rFonts w:ascii="Times New Roman" w:eastAsia="Times New Roman" w:hAnsi="Times New Roman" w:cs="Times New Roman"/>
          <w:noProof/>
          <w:lang w:val="en-IE"/>
        </w:rPr>
        <w:t xml:space="preserve"> disproportionate.</w:t>
      </w:r>
      <w:r w:rsidR="07BA54D0" w:rsidRPr="00BB239D">
        <w:rPr>
          <w:rFonts w:ascii="Times New Roman" w:eastAsia="Times New Roman" w:hAnsi="Times New Roman" w:cs="Times New Roman"/>
          <w:noProof/>
          <w:lang w:val="en-IE"/>
        </w:rPr>
        <w:t xml:space="preserve"> </w:t>
      </w:r>
      <w:r>
        <w:rPr>
          <w:rFonts w:ascii="Times New Roman" w:eastAsia="Times New Roman" w:hAnsi="Times New Roman" w:cs="Times New Roman"/>
          <w:noProof/>
          <w:lang w:val="en-IE"/>
        </w:rPr>
        <w:t>In the latter case</w:t>
      </w:r>
      <w:r w:rsidR="07BA54D0" w:rsidRPr="00BB239D">
        <w:rPr>
          <w:rFonts w:ascii="Times New Roman" w:eastAsia="Times New Roman" w:hAnsi="Times New Roman" w:cs="Times New Roman"/>
          <w:noProof/>
          <w:lang w:val="en-IE"/>
        </w:rPr>
        <w:t xml:space="preserve">, the operator can demonstrate </w:t>
      </w:r>
      <w:r>
        <w:rPr>
          <w:rFonts w:ascii="Times New Roman" w:eastAsia="Times New Roman" w:hAnsi="Times New Roman" w:cs="Times New Roman"/>
          <w:noProof/>
          <w:lang w:val="en-IE"/>
        </w:rPr>
        <w:t>a legal commitment for investments implementing</w:t>
      </w:r>
      <w:r w:rsidR="00E47DBA">
        <w:rPr>
          <w:rFonts w:ascii="Times New Roman" w:eastAsia="Times New Roman" w:hAnsi="Times New Roman" w:cs="Times New Roman"/>
          <w:noProof/>
          <w:lang w:val="en-IE"/>
        </w:rPr>
        <w:t xml:space="preserve"> </w:t>
      </w:r>
      <w:r w:rsidR="07BA54D0" w:rsidRPr="00BB239D">
        <w:rPr>
          <w:rFonts w:ascii="Times New Roman" w:eastAsia="Times New Roman" w:hAnsi="Times New Roman" w:cs="Times New Roman"/>
          <w:noProof/>
          <w:lang w:val="en-IE"/>
        </w:rPr>
        <w:t>other measures which lead to greenhouse gas emission reductions equivalent to those recommended by the audit report or by the certified energy management system for the installation concerned</w:t>
      </w:r>
      <w:r w:rsidR="6288394E" w:rsidRPr="00BB239D">
        <w:rPr>
          <w:rFonts w:ascii="Times New Roman" w:eastAsia="Times New Roman" w:hAnsi="Times New Roman" w:cs="Times New Roman"/>
          <w:noProof/>
          <w:lang w:val="en-IE"/>
        </w:rPr>
        <w:t>;</w:t>
      </w:r>
      <w:r w:rsidR="00946D67" w:rsidRPr="00BB239D">
        <w:rPr>
          <w:rFonts w:ascii="Times New Roman" w:eastAsia="Times New Roman" w:hAnsi="Times New Roman" w:cs="Times New Roman"/>
          <w:noProof/>
          <w:lang w:val="en-IE"/>
        </w:rPr>
        <w:t xml:space="preserve"> </w:t>
      </w:r>
      <w:r w:rsidR="0036338B" w:rsidRPr="00BB239D">
        <w:rPr>
          <w:rFonts w:ascii="Times New Roman" w:eastAsia="Times New Roman" w:hAnsi="Times New Roman" w:cs="Times New Roman"/>
          <w:noProof/>
          <w:lang w:val="en-IE"/>
        </w:rPr>
        <w:t>or</w:t>
      </w:r>
    </w:p>
    <w:p w14:paraId="09178CEC" w14:textId="32C39676" w:rsidR="005F7AC9" w:rsidRPr="00BB239D" w:rsidRDefault="005F7AC9" w:rsidP="00E7181F">
      <w:pPr>
        <w:pStyle w:val="ListParagraph"/>
        <w:numPr>
          <w:ilvl w:val="0"/>
          <w:numId w:val="9"/>
        </w:numPr>
        <w:spacing w:after="120"/>
        <w:jc w:val="both"/>
        <w:rPr>
          <w:rFonts w:ascii="Times New Roman" w:eastAsia="Times New Roman" w:hAnsi="Times New Roman" w:cs="Times New Roman"/>
          <w:noProof/>
          <w:lang w:val="en-IE"/>
        </w:rPr>
      </w:pPr>
      <w:r w:rsidRPr="00BB239D">
        <w:rPr>
          <w:rFonts w:ascii="Times New Roman" w:eastAsia="Times New Roman" w:hAnsi="Times New Roman" w:cs="Times New Roman"/>
          <w:noProof/>
          <w:lang w:val="en-IE"/>
        </w:rPr>
        <w:t xml:space="preserve">For operators not </w:t>
      </w:r>
      <w:r w:rsidR="00D02E49" w:rsidRPr="00BB239D">
        <w:rPr>
          <w:rFonts w:ascii="Times New Roman" w:eastAsia="Times New Roman" w:hAnsi="Times New Roman" w:cs="Times New Roman"/>
          <w:noProof/>
          <w:lang w:val="en-IE"/>
        </w:rPr>
        <w:t xml:space="preserve">covered by the obligation to conduct an energy audit under the EED: </w:t>
      </w:r>
      <w:r w:rsidR="7AE0BEB4" w:rsidRPr="00BB239D">
        <w:rPr>
          <w:rFonts w:ascii="Times New Roman" w:eastAsia="Times New Roman" w:hAnsi="Times New Roman" w:cs="Times New Roman"/>
          <w:noProof/>
          <w:lang w:val="en-IE"/>
        </w:rPr>
        <w:t>The conditions above apply if they conduct</w:t>
      </w:r>
      <w:r w:rsidR="00061746" w:rsidRPr="00BB239D">
        <w:rPr>
          <w:rFonts w:ascii="Times New Roman" w:eastAsia="Times New Roman" w:hAnsi="Times New Roman" w:cs="Times New Roman"/>
          <w:noProof/>
          <w:lang w:val="en-IE"/>
        </w:rPr>
        <w:t xml:space="preserve"> an energy audit compliant with the minimum criteria set out in Annex VI of the EED</w:t>
      </w:r>
      <w:r w:rsidR="00A62912" w:rsidRPr="00BB239D">
        <w:rPr>
          <w:rFonts w:ascii="Times New Roman" w:eastAsia="Times New Roman" w:hAnsi="Times New Roman" w:cs="Times New Roman"/>
          <w:noProof/>
          <w:lang w:val="en-IE"/>
        </w:rPr>
        <w:t>; or</w:t>
      </w:r>
    </w:p>
    <w:p w14:paraId="3376EF87" w14:textId="0FE760D8" w:rsidR="0036338B" w:rsidRPr="00BB239D" w:rsidRDefault="4DD90624" w:rsidP="00FD0607">
      <w:pPr>
        <w:pStyle w:val="ListParagraph"/>
        <w:numPr>
          <w:ilvl w:val="0"/>
          <w:numId w:val="9"/>
        </w:numPr>
        <w:spacing w:after="120"/>
        <w:jc w:val="both"/>
        <w:rPr>
          <w:rFonts w:ascii="Times New Roman" w:eastAsia="Times New Roman" w:hAnsi="Times New Roman" w:cs="Times New Roman"/>
          <w:noProof/>
          <w:lang w:val="en-IE"/>
        </w:rPr>
      </w:pPr>
      <w:r w:rsidRPr="00BB239D">
        <w:rPr>
          <w:rFonts w:ascii="Times New Roman" w:eastAsia="Times New Roman" w:hAnsi="Times New Roman" w:cs="Times New Roman"/>
          <w:noProof/>
          <w:lang w:val="en-IE"/>
        </w:rPr>
        <w:t xml:space="preserve">For all operators: The </w:t>
      </w:r>
      <w:r w:rsidR="6839BE1B" w:rsidRPr="00BB239D">
        <w:rPr>
          <w:rFonts w:ascii="Times New Roman" w:eastAsia="Times New Roman" w:hAnsi="Times New Roman" w:cs="Times New Roman"/>
          <w:noProof/>
          <w:lang w:val="en-IE"/>
        </w:rPr>
        <w:t xml:space="preserve">demonstration of </w:t>
      </w:r>
      <w:r w:rsidR="09BB5BD2" w:rsidRPr="00BB239D">
        <w:rPr>
          <w:rFonts w:ascii="Times New Roman" w:eastAsia="Times New Roman" w:hAnsi="Times New Roman" w:cs="Times New Roman"/>
          <w:noProof/>
          <w:lang w:val="en-IE"/>
        </w:rPr>
        <w:t>a</w:t>
      </w:r>
      <w:r w:rsidR="0C130F4B" w:rsidRPr="00BB239D">
        <w:rPr>
          <w:rFonts w:ascii="Times New Roman" w:eastAsia="Times New Roman" w:hAnsi="Times New Roman" w:cs="Times New Roman"/>
          <w:noProof/>
          <w:lang w:val="en-IE"/>
        </w:rPr>
        <w:t xml:space="preserve"> legal commitment made for investments to achieve the targets and milestones referred to in a climate neutrality plan compliant </w:t>
      </w:r>
      <w:r w:rsidR="60ACCABE" w:rsidRPr="00BB239D">
        <w:rPr>
          <w:rFonts w:ascii="Times New Roman" w:eastAsia="Times New Roman" w:hAnsi="Times New Roman" w:cs="Times New Roman"/>
          <w:noProof/>
          <w:lang w:val="en-IE"/>
        </w:rPr>
        <w:t xml:space="preserve">with </w:t>
      </w:r>
      <w:r w:rsidR="07DA3913" w:rsidRPr="00BB239D">
        <w:rPr>
          <w:rFonts w:ascii="Times New Roman" w:eastAsia="Times New Roman" w:hAnsi="Times New Roman" w:cs="Times New Roman"/>
          <w:noProof/>
          <w:lang w:val="en-IE"/>
        </w:rPr>
        <w:t xml:space="preserve">Implementing Regulation (EU) 2023/2441 </w:t>
      </w:r>
      <w:r w:rsidR="0C130F4B" w:rsidRPr="00BB239D">
        <w:rPr>
          <w:rFonts w:ascii="Times New Roman" w:eastAsia="Times New Roman" w:hAnsi="Times New Roman" w:cs="Times New Roman"/>
          <w:noProof/>
          <w:lang w:val="en-IE"/>
        </w:rPr>
        <w:t xml:space="preserve">and which is at least equivalent to the support amount applied for under this Regulation. </w:t>
      </w:r>
    </w:p>
    <w:p w14:paraId="7059995F" w14:textId="726B2719" w:rsidR="202A2755" w:rsidRPr="00BB239D" w:rsidRDefault="008052F3" w:rsidP="00F97C6C">
      <w:pPr>
        <w:jc w:val="both"/>
        <w:rPr>
          <w:rFonts w:ascii="Times New Roman" w:eastAsia="Calibri" w:hAnsi="Times New Roman" w:cs="Times New Roman"/>
          <w:noProof/>
          <w:lang w:val="en-IE"/>
        </w:rPr>
      </w:pPr>
      <w:r w:rsidRPr="00BB239D">
        <w:rPr>
          <w:rFonts w:ascii="Times New Roman" w:hAnsi="Times New Roman" w:cs="Times New Roman"/>
          <w:noProof/>
          <w:lang w:val="en-IE"/>
        </w:rPr>
        <w:t xml:space="preserve">The additional administrative burden </w:t>
      </w:r>
      <w:r w:rsidR="00440D92" w:rsidRPr="00BB239D">
        <w:rPr>
          <w:rFonts w:ascii="Times New Roman" w:hAnsi="Times New Roman" w:cs="Times New Roman"/>
          <w:noProof/>
          <w:lang w:val="en-IE"/>
        </w:rPr>
        <w:t xml:space="preserve">of this proposed </w:t>
      </w:r>
      <w:r w:rsidR="007854B1" w:rsidRPr="00BB239D">
        <w:rPr>
          <w:rFonts w:ascii="Times New Roman" w:hAnsi="Times New Roman" w:cs="Times New Roman"/>
          <w:noProof/>
          <w:lang w:val="en-IE"/>
        </w:rPr>
        <w:t xml:space="preserve">conditionality design is </w:t>
      </w:r>
      <w:r w:rsidR="003E7EF9" w:rsidRPr="00BB239D">
        <w:rPr>
          <w:rFonts w:ascii="Times New Roman" w:hAnsi="Times New Roman" w:cs="Times New Roman"/>
          <w:noProof/>
          <w:lang w:val="en-IE"/>
        </w:rPr>
        <w:t>expected to be limited</w:t>
      </w:r>
      <w:r w:rsidR="00A73B1E" w:rsidRPr="00BB239D">
        <w:rPr>
          <w:rFonts w:ascii="Times New Roman" w:hAnsi="Times New Roman" w:cs="Times New Roman"/>
          <w:noProof/>
          <w:lang w:val="en-IE"/>
        </w:rPr>
        <w:t xml:space="preserve">, </w:t>
      </w:r>
      <w:r w:rsidR="009435FF" w:rsidRPr="00BB239D">
        <w:rPr>
          <w:rFonts w:ascii="Times New Roman" w:hAnsi="Times New Roman" w:cs="Times New Roman"/>
          <w:noProof/>
          <w:lang w:val="en-IE"/>
        </w:rPr>
        <w:t xml:space="preserve">while at the same time </w:t>
      </w:r>
      <w:r w:rsidR="00862B9A" w:rsidRPr="00BB239D">
        <w:rPr>
          <w:rFonts w:ascii="Times New Roman" w:hAnsi="Times New Roman" w:cs="Times New Roman"/>
          <w:noProof/>
          <w:lang w:val="en-IE"/>
        </w:rPr>
        <w:t>compliance</w:t>
      </w:r>
      <w:r w:rsidR="0052776A" w:rsidRPr="00BB239D">
        <w:rPr>
          <w:rFonts w:ascii="Times New Roman" w:hAnsi="Times New Roman" w:cs="Times New Roman"/>
          <w:noProof/>
          <w:lang w:val="en-IE"/>
        </w:rPr>
        <w:t xml:space="preserve"> with the</w:t>
      </w:r>
      <w:r w:rsidR="00F96226" w:rsidRPr="00BB239D">
        <w:rPr>
          <w:rFonts w:ascii="Times New Roman" w:hAnsi="Times New Roman" w:cs="Times New Roman"/>
          <w:noProof/>
          <w:lang w:val="en-IE"/>
        </w:rPr>
        <w:t xml:space="preserve"> proposed</w:t>
      </w:r>
      <w:r w:rsidR="0052776A" w:rsidRPr="00BB239D">
        <w:rPr>
          <w:rFonts w:ascii="Times New Roman" w:hAnsi="Times New Roman" w:cs="Times New Roman"/>
          <w:noProof/>
          <w:lang w:val="en-IE"/>
        </w:rPr>
        <w:t xml:space="preserve"> framework </w:t>
      </w:r>
      <w:r w:rsidR="00CF2126" w:rsidRPr="00BB239D">
        <w:rPr>
          <w:rFonts w:ascii="Times New Roman" w:hAnsi="Times New Roman" w:cs="Times New Roman"/>
          <w:noProof/>
          <w:lang w:val="en-IE"/>
        </w:rPr>
        <w:t>bear meaningful decarbonisation potential</w:t>
      </w:r>
      <w:r w:rsidR="002D42E3" w:rsidRPr="00BB239D">
        <w:rPr>
          <w:rFonts w:ascii="Times New Roman" w:hAnsi="Times New Roman" w:cs="Times New Roman"/>
          <w:noProof/>
          <w:lang w:val="en-IE"/>
        </w:rPr>
        <w:t xml:space="preserve"> through targeted investments</w:t>
      </w:r>
      <w:r w:rsidR="005E35C5" w:rsidRPr="00BB239D">
        <w:rPr>
          <w:rFonts w:ascii="Times New Roman" w:hAnsi="Times New Roman" w:cs="Times New Roman"/>
          <w:noProof/>
          <w:lang w:val="en-IE"/>
        </w:rPr>
        <w:t xml:space="preserve">. </w:t>
      </w:r>
      <w:r w:rsidR="00F76F71" w:rsidRPr="00BB239D">
        <w:rPr>
          <w:rFonts w:ascii="Times New Roman" w:hAnsi="Times New Roman" w:cs="Times New Roman"/>
          <w:noProof/>
          <w:lang w:val="en-IE"/>
        </w:rPr>
        <w:t xml:space="preserve">More than </w:t>
      </w:r>
      <w:r w:rsidR="00240127" w:rsidRPr="00BB239D">
        <w:rPr>
          <w:rFonts w:ascii="Times New Roman" w:hAnsi="Times New Roman" w:cs="Times New Roman"/>
          <w:noProof/>
          <w:lang w:val="en-IE"/>
        </w:rPr>
        <w:t xml:space="preserve">five </w:t>
      </w:r>
      <w:r w:rsidR="31BF84CA" w:rsidRPr="00BB239D">
        <w:rPr>
          <w:rFonts w:ascii="Times New Roman" w:hAnsi="Times New Roman" w:cs="Times New Roman"/>
          <w:noProof/>
          <w:lang w:val="en-IE"/>
        </w:rPr>
        <w:t>thousand</w:t>
      </w:r>
      <w:r w:rsidR="00197E27" w:rsidRPr="00BB239D">
        <w:rPr>
          <w:rFonts w:ascii="Times New Roman" w:hAnsi="Times New Roman" w:cs="Times New Roman"/>
          <w:noProof/>
          <w:lang w:val="en-IE"/>
        </w:rPr>
        <w:t xml:space="preserve"> EU ETS installations are</w:t>
      </w:r>
      <w:r w:rsidR="00847E42" w:rsidRPr="00BB239D">
        <w:rPr>
          <w:rFonts w:ascii="Times New Roman" w:hAnsi="Times New Roman" w:cs="Times New Roman"/>
          <w:noProof/>
          <w:lang w:val="en-IE"/>
        </w:rPr>
        <w:t xml:space="preserve"> estimated to</w:t>
      </w:r>
      <w:r w:rsidR="00197E27" w:rsidRPr="00BB239D">
        <w:rPr>
          <w:rFonts w:ascii="Times New Roman" w:hAnsi="Times New Roman" w:cs="Times New Roman"/>
          <w:noProof/>
          <w:lang w:val="en-IE"/>
        </w:rPr>
        <w:t xml:space="preserve"> already</w:t>
      </w:r>
      <w:r w:rsidR="00847E42" w:rsidRPr="00BB239D">
        <w:rPr>
          <w:rFonts w:ascii="Times New Roman" w:hAnsi="Times New Roman" w:cs="Times New Roman"/>
          <w:noProof/>
          <w:lang w:val="en-IE"/>
        </w:rPr>
        <w:t xml:space="preserve"> be covered by the </w:t>
      </w:r>
      <w:r w:rsidR="00EF1D40" w:rsidRPr="00BB239D">
        <w:rPr>
          <w:rFonts w:ascii="Times New Roman" w:hAnsi="Times New Roman" w:cs="Times New Roman"/>
          <w:noProof/>
          <w:lang w:val="en-IE"/>
        </w:rPr>
        <w:t>EED energy audit req</w:t>
      </w:r>
      <w:r w:rsidR="00AF1544" w:rsidRPr="00BB239D">
        <w:rPr>
          <w:rFonts w:ascii="Times New Roman" w:hAnsi="Times New Roman" w:cs="Times New Roman"/>
          <w:noProof/>
          <w:lang w:val="en-IE"/>
        </w:rPr>
        <w:t xml:space="preserve">uirements, and </w:t>
      </w:r>
      <w:r w:rsidR="00152D44" w:rsidRPr="00BB239D">
        <w:rPr>
          <w:rFonts w:ascii="Times New Roman" w:hAnsi="Times New Roman" w:cs="Times New Roman"/>
          <w:noProof/>
          <w:lang w:val="en-IE"/>
        </w:rPr>
        <w:t xml:space="preserve">over three </w:t>
      </w:r>
      <w:r w:rsidR="00BA679F" w:rsidRPr="00BB239D">
        <w:rPr>
          <w:rFonts w:ascii="Times New Roman" w:hAnsi="Times New Roman" w:cs="Times New Roman"/>
          <w:noProof/>
          <w:lang w:val="en-IE"/>
        </w:rPr>
        <w:t xml:space="preserve">hundred </w:t>
      </w:r>
      <w:r w:rsidR="00FC6808" w:rsidRPr="00BB239D">
        <w:rPr>
          <w:rFonts w:ascii="Times New Roman" w:hAnsi="Times New Roman" w:cs="Times New Roman"/>
          <w:noProof/>
          <w:lang w:val="en-IE"/>
        </w:rPr>
        <w:t xml:space="preserve">EU ETS installations are estimated to </w:t>
      </w:r>
      <w:r w:rsidR="002E4ADA" w:rsidRPr="00BB239D">
        <w:rPr>
          <w:rFonts w:ascii="Times New Roman" w:hAnsi="Times New Roman" w:cs="Times New Roman"/>
          <w:noProof/>
          <w:lang w:val="en-IE"/>
        </w:rPr>
        <w:t xml:space="preserve">be </w:t>
      </w:r>
      <w:r w:rsidR="00B82ED0" w:rsidRPr="00BB239D">
        <w:rPr>
          <w:rFonts w:ascii="Times New Roman" w:hAnsi="Times New Roman" w:cs="Times New Roman"/>
          <w:noProof/>
          <w:lang w:val="en-IE"/>
        </w:rPr>
        <w:t xml:space="preserve">affected by the CNP </w:t>
      </w:r>
      <w:r w:rsidR="00DE7E44" w:rsidRPr="00BB239D">
        <w:rPr>
          <w:rFonts w:ascii="Times New Roman" w:hAnsi="Times New Roman" w:cs="Times New Roman"/>
          <w:noProof/>
          <w:lang w:val="en-IE"/>
        </w:rPr>
        <w:t>conditionality.</w:t>
      </w:r>
      <w:r w:rsidR="00197E27" w:rsidRPr="00BB239D">
        <w:rPr>
          <w:rFonts w:ascii="Times New Roman" w:hAnsi="Times New Roman" w:cs="Times New Roman"/>
          <w:noProof/>
          <w:lang w:val="en-IE"/>
        </w:rPr>
        <w:t xml:space="preserve"> </w:t>
      </w:r>
      <w:r w:rsidR="16CEDC07" w:rsidRPr="00BB239D">
        <w:rPr>
          <w:rFonts w:ascii="Times New Roman" w:hAnsi="Times New Roman" w:cs="Times New Roman"/>
          <w:noProof/>
          <w:lang w:val="en-IE"/>
        </w:rPr>
        <w:t>Around 96% of those installations</w:t>
      </w:r>
      <w:r w:rsidR="5F87B701" w:rsidRPr="00BB239D">
        <w:rPr>
          <w:rFonts w:ascii="Times New Roman" w:eastAsia="Calibri" w:hAnsi="Times New Roman" w:cs="Times New Roman"/>
          <w:noProof/>
          <w:lang w:val="en-IE"/>
        </w:rPr>
        <w:t xml:space="preserve"> whose greenhouse gas emission levels are higher than the 80th percentile of emission levels for the relevant product benchmarks relating to the implementation of the fifth subparagraph of Article 10a(1) of Directive 2003/87/EC</w:t>
      </w:r>
      <w:r w:rsidR="009C7C7D" w:rsidRPr="00BB239D">
        <w:rPr>
          <w:rFonts w:ascii="Times New Roman" w:eastAsia="Calibri" w:hAnsi="Times New Roman" w:cs="Times New Roman"/>
          <w:noProof/>
          <w:lang w:val="en-IE"/>
        </w:rPr>
        <w:t xml:space="preserve">, </w:t>
      </w:r>
      <w:r w:rsidR="5F87B701" w:rsidRPr="00BB239D">
        <w:rPr>
          <w:rFonts w:ascii="Times New Roman" w:eastAsia="Calibri" w:hAnsi="Times New Roman" w:cs="Times New Roman"/>
          <w:noProof/>
          <w:lang w:val="en-IE"/>
        </w:rPr>
        <w:t>submitted their climate-neutrality plan to the competent authority.</w:t>
      </w:r>
      <w:r w:rsidR="00687BF8" w:rsidRPr="00BB239D">
        <w:rPr>
          <w:rFonts w:ascii="Times New Roman" w:eastAsia="Calibri" w:hAnsi="Times New Roman" w:cs="Times New Roman"/>
          <w:noProof/>
          <w:lang w:val="en-IE"/>
        </w:rPr>
        <w:t xml:space="preserve"> </w:t>
      </w:r>
      <w:r w:rsidR="73281CAD" w:rsidRPr="00BB239D">
        <w:rPr>
          <w:rFonts w:ascii="Times New Roman" w:eastAsia="Calibri" w:hAnsi="Times New Roman" w:cs="Times New Roman"/>
          <w:noProof/>
          <w:lang w:val="en-IE"/>
        </w:rPr>
        <w:t xml:space="preserve">Around 4% of all installations applying for free allocations applied the 20% reduction </w:t>
      </w:r>
      <w:r w:rsidR="540B1012" w:rsidRPr="00BB239D">
        <w:rPr>
          <w:rFonts w:ascii="Times New Roman" w:eastAsia="Calibri" w:hAnsi="Times New Roman" w:cs="Times New Roman"/>
          <w:noProof/>
          <w:lang w:val="en-IE"/>
        </w:rPr>
        <w:t xml:space="preserve">due to non-compliance with the </w:t>
      </w:r>
      <w:r w:rsidR="00CE0734" w:rsidRPr="00BB239D">
        <w:rPr>
          <w:rFonts w:ascii="Times New Roman" w:eastAsia="Calibri" w:hAnsi="Times New Roman" w:cs="Times New Roman"/>
          <w:noProof/>
          <w:lang w:val="en-IE"/>
        </w:rPr>
        <w:t>energy efficiency</w:t>
      </w:r>
      <w:r w:rsidR="540B1012" w:rsidRPr="00BB239D">
        <w:rPr>
          <w:rFonts w:ascii="Times New Roman" w:eastAsia="Calibri" w:hAnsi="Times New Roman" w:cs="Times New Roman"/>
          <w:noProof/>
          <w:lang w:val="en-IE"/>
        </w:rPr>
        <w:t xml:space="preserve"> conditionality requirements.</w:t>
      </w:r>
    </w:p>
    <w:p w14:paraId="249127E1" w14:textId="00BED5D6" w:rsidR="2214299D" w:rsidRPr="00BB239D" w:rsidRDefault="2214299D" w:rsidP="00F97C6C">
      <w:pPr>
        <w:jc w:val="both"/>
        <w:rPr>
          <w:rFonts w:ascii="Times New Roman" w:eastAsia="Arial" w:hAnsi="Times New Roman" w:cs="Times New Roman"/>
          <w:noProof/>
          <w:lang w:val="en-IE"/>
        </w:rPr>
      </w:pPr>
      <w:r w:rsidRPr="4E291A21">
        <w:rPr>
          <w:rFonts w:ascii="Times New Roman" w:eastAsia="Arial" w:hAnsi="Times New Roman" w:cs="Times New Roman"/>
          <w:noProof/>
          <w:color w:val="000000" w:themeColor="text1"/>
          <w:lang w:val="en-IE"/>
        </w:rPr>
        <w:t xml:space="preserve">On average, 52% of all installations with </w:t>
      </w:r>
      <w:r w:rsidR="00A43442" w:rsidRPr="4E291A21">
        <w:rPr>
          <w:rFonts w:ascii="Times New Roman" w:eastAsia="Arial" w:hAnsi="Times New Roman" w:cs="Times New Roman"/>
          <w:noProof/>
          <w:color w:val="000000" w:themeColor="text1"/>
          <w:lang w:val="en-IE"/>
        </w:rPr>
        <w:t xml:space="preserve">energy efficiency </w:t>
      </w:r>
      <w:r w:rsidRPr="4E291A21">
        <w:rPr>
          <w:rFonts w:ascii="Times New Roman" w:eastAsia="Arial" w:hAnsi="Times New Roman" w:cs="Times New Roman"/>
          <w:noProof/>
          <w:color w:val="000000" w:themeColor="text1"/>
          <w:lang w:val="en-IE"/>
        </w:rPr>
        <w:t>improvements under Article 8 of the EED indicated that they implemented all measures</w:t>
      </w:r>
      <w:r w:rsidR="00BC7FFB" w:rsidRPr="4E291A21">
        <w:rPr>
          <w:rFonts w:ascii="Times New Roman" w:eastAsia="Arial" w:hAnsi="Times New Roman" w:cs="Times New Roman"/>
          <w:noProof/>
          <w:color w:val="000000" w:themeColor="text1"/>
          <w:lang w:val="en-IE"/>
        </w:rPr>
        <w:t xml:space="preserve">. This </w:t>
      </w:r>
      <w:r w:rsidR="00C64D96" w:rsidRPr="4E291A21">
        <w:rPr>
          <w:rFonts w:ascii="Times New Roman" w:eastAsia="Arial" w:hAnsi="Times New Roman" w:cs="Times New Roman"/>
          <w:noProof/>
          <w:color w:val="000000" w:themeColor="text1"/>
          <w:lang w:val="en-IE"/>
        </w:rPr>
        <w:t xml:space="preserve">indicates that </w:t>
      </w:r>
      <w:r w:rsidR="0086343D" w:rsidRPr="4E291A21">
        <w:rPr>
          <w:rFonts w:ascii="Times New Roman" w:eastAsia="Arial" w:hAnsi="Times New Roman" w:cs="Times New Roman"/>
          <w:noProof/>
          <w:color w:val="000000" w:themeColor="text1"/>
          <w:lang w:val="en-IE"/>
        </w:rPr>
        <w:t xml:space="preserve">while </w:t>
      </w:r>
      <w:r w:rsidR="006F23CF" w:rsidRPr="4E291A21">
        <w:rPr>
          <w:rFonts w:ascii="Times New Roman" w:eastAsia="Arial" w:hAnsi="Times New Roman" w:cs="Times New Roman"/>
          <w:noProof/>
          <w:color w:val="000000" w:themeColor="text1"/>
          <w:lang w:val="en-IE"/>
        </w:rPr>
        <w:t xml:space="preserve">operators have already taken </w:t>
      </w:r>
      <w:r w:rsidR="00463F94" w:rsidRPr="4E291A21">
        <w:rPr>
          <w:rFonts w:ascii="Times New Roman" w:eastAsia="Arial" w:hAnsi="Times New Roman" w:cs="Times New Roman"/>
          <w:noProof/>
          <w:color w:val="000000" w:themeColor="text1"/>
          <w:lang w:val="en-IE"/>
        </w:rPr>
        <w:t>significant steps</w:t>
      </w:r>
      <w:r w:rsidR="00A71FDD" w:rsidRPr="4E291A21">
        <w:rPr>
          <w:rFonts w:ascii="Times New Roman" w:eastAsia="Arial" w:hAnsi="Times New Roman" w:cs="Times New Roman"/>
          <w:noProof/>
          <w:color w:val="000000" w:themeColor="text1"/>
          <w:lang w:val="en-IE"/>
        </w:rPr>
        <w:t xml:space="preserve">, </w:t>
      </w:r>
      <w:r w:rsidR="00A71FDD" w:rsidRPr="4E291A21">
        <w:rPr>
          <w:rFonts w:ascii="Times New Roman" w:eastAsia="Arial" w:hAnsi="Times New Roman" w:cs="Times New Roman"/>
          <w:noProof/>
          <w:color w:val="000000" w:themeColor="text1"/>
        </w:rPr>
        <w:t>aimed at improving</w:t>
      </w:r>
      <w:r w:rsidR="000653B4" w:rsidRPr="4E291A21">
        <w:rPr>
          <w:rFonts w:ascii="Times New Roman" w:eastAsia="Arial" w:hAnsi="Times New Roman" w:cs="Times New Roman"/>
          <w:noProof/>
          <w:color w:val="000000" w:themeColor="text1"/>
        </w:rPr>
        <w:t xml:space="preserve"> energy efficiency</w:t>
      </w:r>
      <w:r w:rsidR="00463F94" w:rsidRPr="4E291A21">
        <w:rPr>
          <w:rFonts w:ascii="Times New Roman" w:eastAsia="Arial" w:hAnsi="Times New Roman" w:cs="Times New Roman"/>
          <w:noProof/>
          <w:color w:val="000000" w:themeColor="text1"/>
          <w:lang w:val="en-IE"/>
        </w:rPr>
        <w:t xml:space="preserve">, </w:t>
      </w:r>
      <w:r w:rsidR="00766F3E" w:rsidRPr="4E291A21">
        <w:rPr>
          <w:rFonts w:ascii="Times New Roman" w:eastAsia="Arial" w:hAnsi="Times New Roman" w:cs="Times New Roman"/>
          <w:noProof/>
          <w:color w:val="000000" w:themeColor="text1"/>
          <w:lang w:val="en-IE"/>
        </w:rPr>
        <w:t xml:space="preserve">there is still room for additional </w:t>
      </w:r>
      <w:r w:rsidR="00A71FDD" w:rsidRPr="4E291A21">
        <w:rPr>
          <w:rFonts w:ascii="Times New Roman" w:eastAsia="Arial" w:hAnsi="Times New Roman" w:cs="Times New Roman"/>
          <w:noProof/>
          <w:color w:val="000000" w:themeColor="text1"/>
          <w:lang w:val="en-IE"/>
        </w:rPr>
        <w:t>efforts</w:t>
      </w:r>
      <w:r w:rsidR="00993BE3" w:rsidRPr="4E291A21">
        <w:rPr>
          <w:rFonts w:ascii="Times New Roman" w:eastAsia="Arial" w:hAnsi="Times New Roman" w:cs="Times New Roman"/>
          <w:noProof/>
          <w:color w:val="000000" w:themeColor="text1"/>
          <w:lang w:val="en-IE"/>
        </w:rPr>
        <w:t xml:space="preserve"> in </w:t>
      </w:r>
      <w:r w:rsidR="00A71FDD" w:rsidRPr="4E291A21">
        <w:rPr>
          <w:rFonts w:ascii="Times New Roman" w:eastAsia="Arial" w:hAnsi="Times New Roman" w:cs="Times New Roman"/>
          <w:noProof/>
          <w:color w:val="000000" w:themeColor="text1"/>
          <w:lang w:val="en-IE"/>
        </w:rPr>
        <w:t xml:space="preserve">strengthening </w:t>
      </w:r>
      <w:r w:rsidR="00993BE3" w:rsidRPr="4E291A21">
        <w:rPr>
          <w:rFonts w:ascii="Times New Roman" w:eastAsia="Arial" w:hAnsi="Times New Roman" w:cs="Times New Roman"/>
          <w:noProof/>
          <w:color w:val="000000" w:themeColor="text1"/>
          <w:lang w:val="en-IE"/>
        </w:rPr>
        <w:t>energy</w:t>
      </w:r>
      <w:r w:rsidR="006E7866" w:rsidRPr="4E291A21">
        <w:rPr>
          <w:rFonts w:ascii="Times New Roman" w:eastAsia="Arial" w:hAnsi="Times New Roman" w:cs="Times New Roman"/>
          <w:noProof/>
          <w:color w:val="000000" w:themeColor="text1"/>
          <w:lang w:val="en-IE"/>
        </w:rPr>
        <w:t xml:space="preserve"> efficiency measures.</w:t>
      </w:r>
    </w:p>
    <w:p w14:paraId="631F15EC" w14:textId="146FF88C" w:rsidR="5563B044" w:rsidRDefault="5563B044" w:rsidP="4E291A21">
      <w:pPr>
        <w:jc w:val="both"/>
        <w:rPr>
          <w:rFonts w:ascii="Times New Roman" w:eastAsia="Arial" w:hAnsi="Times New Roman" w:cs="Times New Roman"/>
          <w:noProof/>
          <w:color w:val="000000" w:themeColor="text1"/>
          <w:lang w:val="en-IE"/>
        </w:rPr>
      </w:pPr>
      <w:r w:rsidRPr="0098055D">
        <w:rPr>
          <w:rFonts w:ascii="Times New Roman" w:eastAsia="Arial" w:hAnsi="Times New Roman" w:cs="Times New Roman"/>
          <w:noProof/>
          <w:color w:val="000000" w:themeColor="text1"/>
          <w:lang w:val="en-IE"/>
        </w:rPr>
        <w:t>The additional administrative steps that need to be carried out by installations that want to rece</w:t>
      </w:r>
      <w:r w:rsidR="459310ED" w:rsidRPr="0098055D">
        <w:rPr>
          <w:rFonts w:ascii="Times New Roman" w:eastAsia="Arial" w:hAnsi="Times New Roman" w:cs="Times New Roman"/>
          <w:noProof/>
          <w:color w:val="000000" w:themeColor="text1"/>
          <w:lang w:val="en-IE"/>
        </w:rPr>
        <w:t>ive support from the</w:t>
      </w:r>
      <w:r w:rsidR="0A0E77C9" w:rsidRPr="0098055D">
        <w:rPr>
          <w:rFonts w:ascii="Times New Roman" w:eastAsia="Arial" w:hAnsi="Times New Roman" w:cs="Times New Roman"/>
          <w:noProof/>
          <w:color w:val="000000" w:themeColor="text1"/>
          <w:lang w:val="en-IE"/>
        </w:rPr>
        <w:t xml:space="preserve"> TDF</w:t>
      </w:r>
      <w:r w:rsidR="459310ED" w:rsidRPr="0098055D">
        <w:rPr>
          <w:rFonts w:ascii="Times New Roman" w:eastAsia="Arial" w:hAnsi="Times New Roman" w:cs="Times New Roman"/>
          <w:noProof/>
          <w:color w:val="000000" w:themeColor="text1"/>
          <w:lang w:val="en-IE"/>
        </w:rPr>
        <w:t xml:space="preserve"> </w:t>
      </w:r>
      <w:r w:rsidR="004B1E4A">
        <w:rPr>
          <w:rFonts w:ascii="Times New Roman" w:eastAsia="Arial" w:hAnsi="Times New Roman" w:cs="Times New Roman"/>
          <w:noProof/>
          <w:color w:val="000000" w:themeColor="text1"/>
          <w:lang w:val="en-IE"/>
        </w:rPr>
        <w:t>include</w:t>
      </w:r>
      <w:r w:rsidR="459310ED" w:rsidRPr="0098055D">
        <w:rPr>
          <w:rFonts w:ascii="Times New Roman" w:eastAsia="Arial" w:hAnsi="Times New Roman" w:cs="Times New Roman"/>
          <w:noProof/>
          <w:color w:val="000000" w:themeColor="text1"/>
          <w:lang w:val="en-IE"/>
        </w:rPr>
        <w:t xml:space="preserve"> an application to the fund,</w:t>
      </w:r>
      <w:r w:rsidR="6E5089B5" w:rsidRPr="0098055D">
        <w:rPr>
          <w:rFonts w:ascii="Times New Roman" w:eastAsia="Arial" w:hAnsi="Times New Roman" w:cs="Times New Roman"/>
          <w:noProof/>
          <w:color w:val="000000" w:themeColor="text1"/>
          <w:lang w:val="en-IE"/>
        </w:rPr>
        <w:t xml:space="preserve"> a pro</w:t>
      </w:r>
      <w:r w:rsidR="00CA3336" w:rsidRPr="0098055D">
        <w:rPr>
          <w:rFonts w:ascii="Times New Roman" w:eastAsia="Arial" w:hAnsi="Times New Roman" w:cs="Times New Roman"/>
          <w:noProof/>
          <w:color w:val="000000" w:themeColor="text1"/>
          <w:lang w:val="en-IE"/>
        </w:rPr>
        <w:t>of</w:t>
      </w:r>
      <w:r w:rsidR="6E5089B5" w:rsidRPr="0098055D">
        <w:rPr>
          <w:rFonts w:ascii="Times New Roman" w:eastAsia="Arial" w:hAnsi="Times New Roman" w:cs="Times New Roman"/>
          <w:noProof/>
          <w:color w:val="000000" w:themeColor="text1"/>
          <w:lang w:val="en-IE"/>
        </w:rPr>
        <w:t xml:space="preserve"> of meeting the conditionality requirements</w:t>
      </w:r>
      <w:r w:rsidR="004B1E4A">
        <w:rPr>
          <w:rFonts w:ascii="Times New Roman" w:eastAsia="Arial" w:hAnsi="Times New Roman" w:cs="Times New Roman"/>
          <w:noProof/>
          <w:color w:val="000000" w:themeColor="text1"/>
          <w:lang w:val="en-IE"/>
        </w:rPr>
        <w:t xml:space="preserve">. </w:t>
      </w:r>
      <w:r w:rsidR="004B1E4A" w:rsidRPr="5405ABEC">
        <w:rPr>
          <w:rFonts w:ascii="Times New Roman" w:eastAsia="Arial" w:hAnsi="Times New Roman" w:cs="Times New Roman"/>
          <w:noProof/>
          <w:color w:val="000000" w:themeColor="text1"/>
          <w:lang w:val="en-IE"/>
        </w:rPr>
        <w:t xml:space="preserve">In </w:t>
      </w:r>
      <w:r>
        <w:rPr>
          <w:rFonts w:ascii="Times New Roman" w:eastAsia="Arial" w:hAnsi="Times New Roman" w:cs="Times New Roman"/>
          <w:noProof/>
          <w:color w:val="000000" w:themeColor="text1"/>
          <w:lang w:val="en-IE"/>
        </w:rPr>
        <w:t>addition, an activity</w:t>
      </w:r>
      <w:r w:rsidR="459310ED" w:rsidRPr="0098055D">
        <w:rPr>
          <w:rFonts w:ascii="Times New Roman" w:eastAsia="Arial" w:hAnsi="Times New Roman" w:cs="Times New Roman"/>
          <w:noProof/>
          <w:color w:val="000000" w:themeColor="text1"/>
          <w:lang w:val="en-IE"/>
        </w:rPr>
        <w:t xml:space="preserve"> level report </w:t>
      </w:r>
      <w:r w:rsidR="00667A71">
        <w:rPr>
          <w:rFonts w:ascii="Times New Roman" w:eastAsia="Arial" w:hAnsi="Times New Roman" w:cs="Times New Roman"/>
          <w:noProof/>
          <w:color w:val="000000" w:themeColor="text1"/>
          <w:lang w:val="en-IE"/>
        </w:rPr>
        <w:t xml:space="preserve">already required under the EU ETS </w:t>
      </w:r>
      <w:r w:rsidR="459310ED" w:rsidRPr="0098055D">
        <w:rPr>
          <w:rFonts w:ascii="Times New Roman" w:eastAsia="Arial" w:hAnsi="Times New Roman" w:cs="Times New Roman"/>
          <w:noProof/>
          <w:color w:val="000000" w:themeColor="text1"/>
          <w:lang w:val="en-IE"/>
        </w:rPr>
        <w:t xml:space="preserve">needs to be </w:t>
      </w:r>
      <w:r w:rsidR="00316D73" w:rsidRPr="0098055D">
        <w:rPr>
          <w:rFonts w:ascii="Times New Roman" w:eastAsia="Arial" w:hAnsi="Times New Roman" w:cs="Times New Roman"/>
          <w:noProof/>
          <w:color w:val="000000" w:themeColor="text1"/>
          <w:lang w:val="en-IE"/>
        </w:rPr>
        <w:t>pro</w:t>
      </w:r>
      <w:r w:rsidR="00020F51" w:rsidRPr="0098055D">
        <w:rPr>
          <w:rFonts w:ascii="Times New Roman" w:eastAsia="Arial" w:hAnsi="Times New Roman" w:cs="Times New Roman"/>
          <w:noProof/>
          <w:color w:val="000000" w:themeColor="text1"/>
          <w:lang w:val="en-IE"/>
        </w:rPr>
        <w:t>vided</w:t>
      </w:r>
      <w:r w:rsidR="1CAB635E" w:rsidRPr="0098055D">
        <w:rPr>
          <w:rFonts w:ascii="Times New Roman" w:eastAsia="Arial" w:hAnsi="Times New Roman" w:cs="Times New Roman"/>
          <w:noProof/>
          <w:color w:val="000000" w:themeColor="text1"/>
          <w:lang w:val="en-IE"/>
        </w:rPr>
        <w:t xml:space="preserve"> at a slightly more granular level</w:t>
      </w:r>
      <w:r w:rsidR="006437EA" w:rsidRPr="0098055D">
        <w:rPr>
          <w:rFonts w:ascii="Times New Roman" w:eastAsia="Arial" w:hAnsi="Times New Roman" w:cs="Times New Roman"/>
          <w:noProof/>
          <w:color w:val="000000" w:themeColor="text1"/>
          <w:lang w:val="en-IE"/>
        </w:rPr>
        <w:t xml:space="preserve"> to differentiate between production volumes of eligible and non-eligib</w:t>
      </w:r>
      <w:r w:rsidR="003C321F" w:rsidRPr="0098055D">
        <w:rPr>
          <w:rFonts w:ascii="Times New Roman" w:eastAsia="Arial" w:hAnsi="Times New Roman" w:cs="Times New Roman"/>
          <w:noProof/>
          <w:color w:val="000000" w:themeColor="text1"/>
          <w:lang w:val="en-IE"/>
        </w:rPr>
        <w:t>le</w:t>
      </w:r>
      <w:r w:rsidR="006437EA" w:rsidRPr="0098055D">
        <w:rPr>
          <w:rFonts w:ascii="Times New Roman" w:eastAsia="Arial" w:hAnsi="Times New Roman" w:cs="Times New Roman"/>
          <w:noProof/>
          <w:color w:val="000000" w:themeColor="text1"/>
          <w:lang w:val="en-IE"/>
        </w:rPr>
        <w:t xml:space="preserve"> CBAM goods</w:t>
      </w:r>
      <w:r w:rsidR="7BA1BA1D" w:rsidRPr="0098055D">
        <w:rPr>
          <w:rFonts w:ascii="Times New Roman" w:eastAsia="Arial" w:hAnsi="Times New Roman" w:cs="Times New Roman"/>
          <w:noProof/>
          <w:color w:val="000000" w:themeColor="text1"/>
          <w:lang w:val="en-IE"/>
        </w:rPr>
        <w:t xml:space="preserve">. The additional administrative burden is, hence, minimal in comparison to the </w:t>
      </w:r>
      <w:r w:rsidR="41404DCC" w:rsidRPr="0098055D">
        <w:rPr>
          <w:rFonts w:ascii="Times New Roman" w:eastAsia="Arial" w:hAnsi="Times New Roman" w:cs="Times New Roman"/>
          <w:noProof/>
          <w:color w:val="000000" w:themeColor="text1"/>
          <w:lang w:val="en-IE"/>
        </w:rPr>
        <w:t xml:space="preserve">support </w:t>
      </w:r>
      <w:r w:rsidR="7BA1BA1D" w:rsidRPr="0098055D">
        <w:rPr>
          <w:rFonts w:ascii="Times New Roman" w:eastAsia="Arial" w:hAnsi="Times New Roman" w:cs="Times New Roman"/>
          <w:noProof/>
          <w:color w:val="000000" w:themeColor="text1"/>
          <w:lang w:val="en-IE"/>
        </w:rPr>
        <w:t xml:space="preserve">received and the positive environmental </w:t>
      </w:r>
      <w:r w:rsidR="5F27833D" w:rsidRPr="0098055D">
        <w:rPr>
          <w:rFonts w:ascii="Times New Roman" w:eastAsia="Arial" w:hAnsi="Times New Roman" w:cs="Times New Roman"/>
          <w:noProof/>
          <w:color w:val="000000" w:themeColor="text1"/>
          <w:lang w:val="en-IE"/>
        </w:rPr>
        <w:t>impact of the fund.</w:t>
      </w:r>
    </w:p>
    <w:p w14:paraId="5BDBF0C5" w14:textId="77777777" w:rsidR="0066478E" w:rsidRPr="0098055D" w:rsidRDefault="0066478E" w:rsidP="4E291A21">
      <w:pPr>
        <w:jc w:val="both"/>
        <w:rPr>
          <w:rFonts w:ascii="Times New Roman" w:eastAsia="Arial" w:hAnsi="Times New Roman" w:cs="Times New Roman"/>
          <w:noProof/>
          <w:color w:val="000000" w:themeColor="text1"/>
          <w:lang w:val="en-IE"/>
        </w:rPr>
      </w:pPr>
    </w:p>
    <w:p w14:paraId="66131CAD" w14:textId="452D9C1D" w:rsidR="00BF5BD9" w:rsidRDefault="00BF5BD9" w:rsidP="0042793A">
      <w:pPr>
        <w:pStyle w:val="Heading2"/>
        <w:numPr>
          <w:ilvl w:val="0"/>
          <w:numId w:val="2"/>
        </w:numPr>
        <w:spacing w:after="240" w:line="240" w:lineRule="auto"/>
        <w:ind w:left="357" w:hanging="357"/>
        <w:jc w:val="both"/>
        <w:rPr>
          <w:rFonts w:ascii="Times New Roman" w:eastAsia="Times New Roman" w:hAnsi="Times New Roman" w:cs="Times New Roman"/>
          <w:noProof/>
          <w:lang w:val="en-IE"/>
        </w:rPr>
      </w:pPr>
      <w:bookmarkStart w:id="31" w:name="_Toc213059399"/>
      <w:bookmarkStart w:id="32" w:name="_Toc224218966"/>
      <w:bookmarkStart w:id="33" w:name="_Toc214972111"/>
      <w:bookmarkEnd w:id="31"/>
      <w:r>
        <w:rPr>
          <w:rFonts w:ascii="Times New Roman" w:eastAsia="Times New Roman" w:hAnsi="Times New Roman" w:cs="Times New Roman"/>
          <w:noProof/>
          <w:lang w:val="en-IE"/>
        </w:rPr>
        <w:t>Engagement with stakeholders</w:t>
      </w:r>
      <w:bookmarkEnd w:id="32"/>
      <w:bookmarkEnd w:id="33"/>
    </w:p>
    <w:p w14:paraId="21217826" w14:textId="16C4A74E" w:rsidR="00894A3F" w:rsidRPr="00894A3F" w:rsidRDefault="0AC23C36" w:rsidP="00894A3F">
      <w:pPr>
        <w:jc w:val="both"/>
        <w:rPr>
          <w:rFonts w:ascii="Times New Roman" w:eastAsia="Times New Roman" w:hAnsi="Times New Roman" w:cs="Times New Roman"/>
          <w:noProof/>
          <w:lang w:val="en-IE"/>
        </w:rPr>
      </w:pPr>
      <w:r w:rsidRPr="531EB697">
        <w:rPr>
          <w:rFonts w:ascii="Times New Roman" w:eastAsia="Times New Roman" w:hAnsi="Times New Roman" w:cs="Times New Roman"/>
          <w:noProof/>
          <w:lang w:val="en-IE"/>
        </w:rPr>
        <w:t>The Commission is committe</w:t>
      </w:r>
      <w:r w:rsidR="5F5AD866" w:rsidRPr="531EB697">
        <w:rPr>
          <w:rFonts w:ascii="Times New Roman" w:eastAsia="Times New Roman" w:hAnsi="Times New Roman" w:cs="Times New Roman"/>
          <w:noProof/>
          <w:lang w:val="en-IE"/>
        </w:rPr>
        <w:t>d to being open and transparent throughout the policy cycle, including in the consultation of sta</w:t>
      </w:r>
      <w:r w:rsidR="779855D2" w:rsidRPr="531EB697">
        <w:rPr>
          <w:rFonts w:ascii="Times New Roman" w:eastAsia="Times New Roman" w:hAnsi="Times New Roman" w:cs="Times New Roman"/>
          <w:noProof/>
          <w:lang w:val="en-IE"/>
        </w:rPr>
        <w:t>ke</w:t>
      </w:r>
      <w:r w:rsidR="5F5AD866" w:rsidRPr="531EB697">
        <w:rPr>
          <w:rFonts w:ascii="Times New Roman" w:eastAsia="Times New Roman" w:hAnsi="Times New Roman" w:cs="Times New Roman"/>
          <w:noProof/>
          <w:lang w:val="en-IE"/>
        </w:rPr>
        <w:t>holders</w:t>
      </w:r>
      <w:r w:rsidR="006C14BE" w:rsidRPr="531EB697">
        <w:rPr>
          <w:rFonts w:ascii="Times New Roman" w:eastAsia="Times New Roman" w:hAnsi="Times New Roman" w:cs="Times New Roman"/>
          <w:noProof/>
          <w:lang w:val="en-IE"/>
        </w:rPr>
        <w:t xml:space="preserve">. </w:t>
      </w:r>
      <w:r w:rsidR="67F44E98" w:rsidRPr="531EB697">
        <w:rPr>
          <w:rFonts w:ascii="Times New Roman" w:eastAsia="Times New Roman" w:hAnsi="Times New Roman" w:cs="Times New Roman"/>
          <w:noProof/>
          <w:lang w:val="en-IE"/>
        </w:rPr>
        <w:t>T</w:t>
      </w:r>
      <w:r w:rsidR="1264A023" w:rsidRPr="531EB697">
        <w:rPr>
          <w:rFonts w:ascii="Times New Roman" w:eastAsia="Times New Roman" w:hAnsi="Times New Roman" w:cs="Times New Roman"/>
          <w:noProof/>
          <w:lang w:val="en-IE"/>
        </w:rPr>
        <w:t>he Commission has</w:t>
      </w:r>
      <w:r w:rsidR="006C14BE" w:rsidRPr="531EB697">
        <w:rPr>
          <w:rFonts w:ascii="Times New Roman" w:eastAsia="Times New Roman" w:hAnsi="Times New Roman" w:cs="Times New Roman"/>
          <w:noProof/>
          <w:lang w:val="en-IE"/>
        </w:rPr>
        <w:t xml:space="preserve"> organised a targeted consultation activity, seeking the specific views of </w:t>
      </w:r>
      <w:r w:rsidR="006C14BE" w:rsidRPr="6CCEABF6">
        <w:rPr>
          <w:rFonts w:ascii="Times New Roman" w:eastAsia="Times New Roman" w:hAnsi="Times New Roman" w:cs="Times New Roman"/>
          <w:noProof/>
          <w:lang w:val="en-IE"/>
        </w:rPr>
        <w:t>well</w:t>
      </w:r>
      <w:r w:rsidR="6B6250C7" w:rsidRPr="6CCEABF6">
        <w:rPr>
          <w:rFonts w:ascii="Times New Roman" w:eastAsia="Times New Roman" w:hAnsi="Times New Roman" w:cs="Times New Roman"/>
          <w:noProof/>
          <w:lang w:val="en-IE"/>
        </w:rPr>
        <w:t xml:space="preserve"> </w:t>
      </w:r>
      <w:r w:rsidR="006C14BE" w:rsidRPr="6CCEABF6">
        <w:rPr>
          <w:rFonts w:ascii="Times New Roman" w:eastAsia="Times New Roman" w:hAnsi="Times New Roman" w:cs="Times New Roman"/>
          <w:noProof/>
          <w:lang w:val="en-IE"/>
        </w:rPr>
        <w:t>defined</w:t>
      </w:r>
      <w:r w:rsidR="006C14BE" w:rsidRPr="531EB697">
        <w:rPr>
          <w:rFonts w:ascii="Times New Roman" w:eastAsia="Times New Roman" w:hAnsi="Times New Roman" w:cs="Times New Roman"/>
          <w:noProof/>
          <w:lang w:val="en-IE"/>
        </w:rPr>
        <w:t xml:space="preserve"> stakeholde</w:t>
      </w:r>
      <w:r w:rsidR="5137D700" w:rsidRPr="531EB697">
        <w:rPr>
          <w:rFonts w:ascii="Times New Roman" w:eastAsia="Times New Roman" w:hAnsi="Times New Roman" w:cs="Times New Roman"/>
          <w:noProof/>
          <w:lang w:val="en-IE"/>
        </w:rPr>
        <w:t xml:space="preserve">rs. </w:t>
      </w:r>
      <w:r w:rsidR="21E75084" w:rsidRPr="531EB697">
        <w:rPr>
          <w:rFonts w:ascii="Times New Roman" w:eastAsia="Times New Roman" w:hAnsi="Times New Roman" w:cs="Times New Roman"/>
          <w:noProof/>
          <w:lang w:val="en-IE"/>
        </w:rPr>
        <w:t>The Commission</w:t>
      </w:r>
      <w:r w:rsidR="1264A023" w:rsidRPr="531EB697">
        <w:rPr>
          <w:rFonts w:ascii="Times New Roman" w:eastAsia="Times New Roman" w:hAnsi="Times New Roman" w:cs="Times New Roman"/>
          <w:noProof/>
          <w:lang w:val="en-IE"/>
        </w:rPr>
        <w:t xml:space="preserve"> consult</w:t>
      </w:r>
      <w:r w:rsidR="70F72E1F" w:rsidRPr="531EB697">
        <w:rPr>
          <w:rFonts w:ascii="Times New Roman" w:eastAsia="Times New Roman" w:hAnsi="Times New Roman" w:cs="Times New Roman"/>
          <w:noProof/>
          <w:lang w:val="en-IE"/>
        </w:rPr>
        <w:t>ed</w:t>
      </w:r>
      <w:r w:rsidR="1264A023" w:rsidRPr="531EB697">
        <w:rPr>
          <w:rFonts w:ascii="Times New Roman" w:eastAsia="Times New Roman" w:hAnsi="Times New Roman" w:cs="Times New Roman"/>
          <w:noProof/>
          <w:lang w:val="en-IE"/>
        </w:rPr>
        <w:t xml:space="preserve"> </w:t>
      </w:r>
      <w:r w:rsidR="5525D061" w:rsidRPr="531EB697">
        <w:rPr>
          <w:rFonts w:ascii="Times New Roman" w:eastAsia="Times New Roman" w:hAnsi="Times New Roman" w:cs="Times New Roman"/>
          <w:noProof/>
          <w:lang w:val="en-IE"/>
        </w:rPr>
        <w:t>industry representatives</w:t>
      </w:r>
      <w:r w:rsidR="1264A023" w:rsidRPr="531EB697">
        <w:rPr>
          <w:rFonts w:ascii="Times New Roman" w:eastAsia="Times New Roman" w:hAnsi="Times New Roman" w:cs="Times New Roman"/>
          <w:noProof/>
          <w:lang w:val="en-IE"/>
        </w:rPr>
        <w:t xml:space="preserve"> on </w:t>
      </w:r>
      <w:r w:rsidR="6A000311" w:rsidRPr="531EB697">
        <w:rPr>
          <w:rFonts w:ascii="Times New Roman" w:eastAsia="Times New Roman" w:hAnsi="Times New Roman" w:cs="Times New Roman"/>
          <w:noProof/>
          <w:lang w:val="en-IE"/>
        </w:rPr>
        <w:t xml:space="preserve">the plan for </w:t>
      </w:r>
      <w:r w:rsidR="7CB8CC04" w:rsidRPr="531EB697">
        <w:rPr>
          <w:rFonts w:ascii="Times New Roman" w:eastAsia="Times New Roman" w:hAnsi="Times New Roman" w:cs="Times New Roman"/>
          <w:noProof/>
          <w:lang w:val="en-IE"/>
        </w:rPr>
        <w:t>a support measure</w:t>
      </w:r>
      <w:r w:rsidR="1264A023" w:rsidRPr="531EB697">
        <w:rPr>
          <w:rFonts w:ascii="Times New Roman" w:eastAsia="Times New Roman" w:hAnsi="Times New Roman" w:cs="Times New Roman"/>
          <w:noProof/>
          <w:lang w:val="en-IE"/>
        </w:rPr>
        <w:t xml:space="preserve"> in advance of the proposal, </w:t>
      </w:r>
      <w:r w:rsidR="7CB8CC04" w:rsidRPr="531EB697">
        <w:rPr>
          <w:rFonts w:ascii="Times New Roman" w:eastAsia="Times New Roman" w:hAnsi="Times New Roman" w:cs="Times New Roman"/>
          <w:noProof/>
          <w:lang w:val="en-IE"/>
        </w:rPr>
        <w:t>including through a h</w:t>
      </w:r>
      <w:r w:rsidR="1264A023" w:rsidRPr="531EB697">
        <w:rPr>
          <w:rFonts w:ascii="Times New Roman" w:eastAsia="Times New Roman" w:hAnsi="Times New Roman" w:cs="Times New Roman"/>
          <w:noProof/>
          <w:lang w:val="en-IE"/>
        </w:rPr>
        <w:t xml:space="preserve">igh-level dialogue </w:t>
      </w:r>
      <w:r w:rsidR="7CB8CC04" w:rsidRPr="531EB697">
        <w:rPr>
          <w:rFonts w:ascii="Times New Roman" w:eastAsia="Times New Roman" w:hAnsi="Times New Roman" w:cs="Times New Roman"/>
          <w:noProof/>
          <w:lang w:val="en-IE"/>
        </w:rPr>
        <w:t xml:space="preserve">organised on 28 October. </w:t>
      </w:r>
    </w:p>
    <w:p w14:paraId="5E83B8CB" w14:textId="18BACDFB" w:rsidR="007075FA" w:rsidRPr="00243063" w:rsidRDefault="007075FA" w:rsidP="0063308C">
      <w:pPr>
        <w:keepNext/>
        <w:rPr>
          <w:rFonts w:ascii="Times New Roman" w:eastAsia="Times New Roman" w:hAnsi="Times New Roman" w:cs="Times New Roman"/>
          <w:b/>
          <w:bCs/>
          <w:noProof/>
          <w:lang w:val="en-IE"/>
        </w:rPr>
      </w:pPr>
      <w:r w:rsidRPr="00243063">
        <w:rPr>
          <w:rFonts w:ascii="Times New Roman" w:eastAsia="Times New Roman" w:hAnsi="Times New Roman" w:cs="Times New Roman"/>
          <w:b/>
          <w:bCs/>
          <w:noProof/>
          <w:lang w:val="en-IE"/>
        </w:rPr>
        <w:t xml:space="preserve">Overview: consultation activities </w:t>
      </w:r>
    </w:p>
    <w:tbl>
      <w:tblPr>
        <w:tblStyle w:val="TableGrid"/>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2075"/>
        <w:gridCol w:w="3926"/>
        <w:gridCol w:w="3081"/>
      </w:tblGrid>
      <w:tr w:rsidR="00E054A5" w14:paraId="63C5B413" w14:textId="77777777" w:rsidTr="00327364">
        <w:tc>
          <w:tcPr>
            <w:tcW w:w="2075" w:type="dxa"/>
          </w:tcPr>
          <w:p w14:paraId="1E3BFEF0" w14:textId="46A776BC" w:rsidR="00E054A5" w:rsidRPr="00243063" w:rsidRDefault="00E054A5" w:rsidP="0063308C">
            <w:pPr>
              <w:keepNext/>
              <w:rPr>
                <w:rFonts w:ascii="Times New Roman" w:hAnsi="Times New Roman" w:cs="Times New Roman"/>
                <w:b/>
                <w:bCs/>
                <w:noProof/>
              </w:rPr>
            </w:pPr>
            <w:r w:rsidRPr="00243063">
              <w:rPr>
                <w:rFonts w:ascii="Times New Roman" w:hAnsi="Times New Roman" w:cs="Times New Roman"/>
                <w:b/>
                <w:bCs/>
                <w:noProof/>
              </w:rPr>
              <w:t>Date</w:t>
            </w:r>
          </w:p>
        </w:tc>
        <w:tc>
          <w:tcPr>
            <w:tcW w:w="3926" w:type="dxa"/>
          </w:tcPr>
          <w:p w14:paraId="7EB002B8" w14:textId="6A2AB9D3" w:rsidR="00E054A5" w:rsidRPr="00243063" w:rsidRDefault="00E054A5" w:rsidP="0063308C">
            <w:pPr>
              <w:keepNext/>
              <w:rPr>
                <w:rFonts w:ascii="Times New Roman" w:hAnsi="Times New Roman" w:cs="Times New Roman"/>
                <w:b/>
                <w:bCs/>
                <w:noProof/>
              </w:rPr>
            </w:pPr>
            <w:r w:rsidRPr="00243063">
              <w:rPr>
                <w:rFonts w:ascii="Times New Roman" w:hAnsi="Times New Roman" w:cs="Times New Roman"/>
                <w:b/>
                <w:bCs/>
                <w:noProof/>
              </w:rPr>
              <w:t>Consultation activity</w:t>
            </w:r>
          </w:p>
        </w:tc>
        <w:tc>
          <w:tcPr>
            <w:tcW w:w="3081" w:type="dxa"/>
          </w:tcPr>
          <w:p w14:paraId="41653C43" w14:textId="554443C4" w:rsidR="00E054A5" w:rsidRPr="00243063" w:rsidRDefault="00E054A5" w:rsidP="0063308C">
            <w:pPr>
              <w:keepNext/>
              <w:rPr>
                <w:rFonts w:ascii="Times New Roman" w:hAnsi="Times New Roman" w:cs="Times New Roman"/>
                <w:b/>
                <w:bCs/>
                <w:noProof/>
              </w:rPr>
            </w:pPr>
            <w:r w:rsidRPr="00243063">
              <w:rPr>
                <w:rFonts w:ascii="Times New Roman" w:hAnsi="Times New Roman" w:cs="Times New Roman"/>
                <w:b/>
                <w:bCs/>
                <w:noProof/>
              </w:rPr>
              <w:t>Participants</w:t>
            </w:r>
          </w:p>
        </w:tc>
      </w:tr>
      <w:tr w:rsidR="1ACCD428" w14:paraId="5239233B" w14:textId="77777777" w:rsidTr="1ACCD428">
        <w:trPr>
          <w:trHeight w:val="300"/>
        </w:trPr>
        <w:tc>
          <w:tcPr>
            <w:tcW w:w="2075" w:type="dxa"/>
          </w:tcPr>
          <w:p w14:paraId="55D12FE2" w14:textId="724EB5F6" w:rsidR="1ACCD428" w:rsidRDefault="538AB3B4" w:rsidP="0063308C">
            <w:pPr>
              <w:keepNext/>
              <w:rPr>
                <w:rFonts w:ascii="Times New Roman" w:hAnsi="Times New Roman" w:cs="Times New Roman"/>
                <w:noProof/>
              </w:rPr>
            </w:pPr>
            <w:r w:rsidRPr="7C4392C7">
              <w:rPr>
                <w:rFonts w:ascii="Times New Roman" w:hAnsi="Times New Roman" w:cs="Times New Roman"/>
                <w:noProof/>
              </w:rPr>
              <w:t>08 August 2024</w:t>
            </w:r>
          </w:p>
        </w:tc>
        <w:tc>
          <w:tcPr>
            <w:tcW w:w="3926" w:type="dxa"/>
          </w:tcPr>
          <w:p w14:paraId="2592F9CF" w14:textId="5EBEF8A7" w:rsidR="1ACCD428" w:rsidRDefault="64BD5208" w:rsidP="0063308C">
            <w:pPr>
              <w:keepNext/>
              <w:rPr>
                <w:rFonts w:ascii="Times New Roman" w:hAnsi="Times New Roman" w:cs="Times New Roman"/>
                <w:noProof/>
              </w:rPr>
            </w:pPr>
            <w:r w:rsidRPr="66F8AF40">
              <w:rPr>
                <w:rFonts w:ascii="Times New Roman" w:hAnsi="Times New Roman" w:cs="Times New Roman"/>
                <w:noProof/>
              </w:rPr>
              <w:t xml:space="preserve">Stakeholder Engagement </w:t>
            </w:r>
            <w:r w:rsidR="3EFA1815" w:rsidRPr="4CF05531">
              <w:rPr>
                <w:rFonts w:ascii="Times New Roman" w:hAnsi="Times New Roman" w:cs="Times New Roman"/>
                <w:noProof/>
              </w:rPr>
              <w:t>Questionnaire</w:t>
            </w:r>
          </w:p>
        </w:tc>
        <w:tc>
          <w:tcPr>
            <w:tcW w:w="3081" w:type="dxa"/>
          </w:tcPr>
          <w:p w14:paraId="50BA719E" w14:textId="56592A14" w:rsidR="1ACCD428" w:rsidRDefault="64BD5208" w:rsidP="0063308C">
            <w:pPr>
              <w:keepNext/>
              <w:rPr>
                <w:rFonts w:ascii="Times New Roman" w:hAnsi="Times New Roman" w:cs="Times New Roman"/>
                <w:noProof/>
              </w:rPr>
            </w:pPr>
            <w:r w:rsidRPr="66F8AF40">
              <w:rPr>
                <w:rFonts w:ascii="Times New Roman" w:hAnsi="Times New Roman" w:cs="Times New Roman"/>
                <w:noProof/>
              </w:rPr>
              <w:t>Industry</w:t>
            </w:r>
            <w:r w:rsidR="6C7E469C" w:rsidRPr="66F8AF40">
              <w:rPr>
                <w:rFonts w:ascii="Times New Roman" w:hAnsi="Times New Roman" w:cs="Times New Roman"/>
                <w:noProof/>
              </w:rPr>
              <w:t xml:space="preserve"> representatives</w:t>
            </w:r>
            <w:r w:rsidR="1ACCD428" w:rsidRPr="00721CCB">
              <w:rPr>
                <w:rFonts w:ascii="Times New Roman" w:hAnsi="Times New Roman" w:cs="Times New Roman"/>
                <w:noProof/>
                <w:sz w:val="20"/>
                <w:szCs w:val="20"/>
                <w:vertAlign w:val="superscript"/>
              </w:rPr>
              <w:footnoteReference w:id="15"/>
            </w:r>
          </w:p>
        </w:tc>
      </w:tr>
      <w:tr w:rsidR="0063705E" w14:paraId="3EE20ED7" w14:textId="77777777" w:rsidTr="00327364">
        <w:tc>
          <w:tcPr>
            <w:tcW w:w="2075" w:type="dxa"/>
          </w:tcPr>
          <w:p w14:paraId="0ACB6EBB" w14:textId="4739C42E" w:rsidR="0063705E" w:rsidRPr="00AE5EFD" w:rsidRDefault="0063705E" w:rsidP="0063308C">
            <w:pPr>
              <w:keepNext/>
              <w:rPr>
                <w:rFonts w:ascii="Times New Roman" w:hAnsi="Times New Roman" w:cs="Times New Roman"/>
                <w:noProof/>
              </w:rPr>
            </w:pPr>
            <w:r>
              <w:rPr>
                <w:rFonts w:ascii="Times New Roman" w:hAnsi="Times New Roman" w:cs="Times New Roman"/>
                <w:noProof/>
              </w:rPr>
              <w:t>19 September 2025</w:t>
            </w:r>
          </w:p>
        </w:tc>
        <w:tc>
          <w:tcPr>
            <w:tcW w:w="3926" w:type="dxa"/>
          </w:tcPr>
          <w:p w14:paraId="3963A4C5" w14:textId="4C1EFE3B" w:rsidR="0063705E" w:rsidRPr="00AE5EFD" w:rsidRDefault="00637B26" w:rsidP="0063308C">
            <w:pPr>
              <w:keepNext/>
              <w:rPr>
                <w:rFonts w:ascii="Times New Roman" w:hAnsi="Times New Roman" w:cs="Times New Roman"/>
                <w:noProof/>
              </w:rPr>
            </w:pPr>
            <w:r>
              <w:rPr>
                <w:rFonts w:ascii="Times New Roman" w:hAnsi="Times New Roman" w:cs="Times New Roman"/>
                <w:noProof/>
              </w:rPr>
              <w:t>CBAM industry</w:t>
            </w:r>
            <w:r w:rsidR="0063705E">
              <w:rPr>
                <w:rFonts w:ascii="Times New Roman" w:hAnsi="Times New Roman" w:cs="Times New Roman"/>
                <w:noProof/>
              </w:rPr>
              <w:t xml:space="preserve"> breakfast</w:t>
            </w:r>
          </w:p>
        </w:tc>
        <w:tc>
          <w:tcPr>
            <w:tcW w:w="3081" w:type="dxa"/>
          </w:tcPr>
          <w:p w14:paraId="3EB4F32E" w14:textId="22AE934B" w:rsidR="0063705E" w:rsidRPr="00AE5EFD" w:rsidRDefault="00295533" w:rsidP="0063308C">
            <w:pPr>
              <w:keepNext/>
              <w:rPr>
                <w:rFonts w:ascii="Times New Roman" w:hAnsi="Times New Roman" w:cs="Times New Roman"/>
                <w:noProof/>
              </w:rPr>
            </w:pPr>
            <w:r>
              <w:rPr>
                <w:rFonts w:ascii="Times New Roman" w:hAnsi="Times New Roman" w:cs="Times New Roman"/>
                <w:noProof/>
              </w:rPr>
              <w:t>Industry representatives</w:t>
            </w:r>
            <w:r>
              <w:rPr>
                <w:rStyle w:val="FootnoteReference"/>
                <w:rFonts w:ascii="Times New Roman" w:hAnsi="Times New Roman" w:cs="Times New Roman"/>
                <w:noProof/>
              </w:rPr>
              <w:footnoteReference w:id="16"/>
            </w:r>
          </w:p>
        </w:tc>
      </w:tr>
      <w:tr w:rsidR="0063705E" w14:paraId="7304407C" w14:textId="77777777" w:rsidTr="00327364">
        <w:tc>
          <w:tcPr>
            <w:tcW w:w="2075" w:type="dxa"/>
          </w:tcPr>
          <w:p w14:paraId="36C4D927" w14:textId="1F81052D" w:rsidR="0063705E" w:rsidRPr="00AE5EFD" w:rsidRDefault="0063705E" w:rsidP="0063308C">
            <w:pPr>
              <w:keepNext/>
              <w:rPr>
                <w:rFonts w:ascii="Times New Roman" w:hAnsi="Times New Roman" w:cs="Times New Roman"/>
                <w:noProof/>
              </w:rPr>
            </w:pPr>
            <w:r>
              <w:rPr>
                <w:rFonts w:ascii="Times New Roman" w:hAnsi="Times New Roman" w:cs="Times New Roman"/>
                <w:noProof/>
              </w:rPr>
              <w:t>22 October 2025</w:t>
            </w:r>
          </w:p>
        </w:tc>
        <w:tc>
          <w:tcPr>
            <w:tcW w:w="3926" w:type="dxa"/>
          </w:tcPr>
          <w:p w14:paraId="38CB7F71" w14:textId="49BCC375" w:rsidR="0063705E" w:rsidRPr="00AE5EFD" w:rsidRDefault="0063705E" w:rsidP="0063308C">
            <w:pPr>
              <w:keepNext/>
              <w:rPr>
                <w:rFonts w:ascii="Times New Roman" w:hAnsi="Times New Roman" w:cs="Times New Roman"/>
                <w:noProof/>
              </w:rPr>
            </w:pPr>
            <w:r>
              <w:rPr>
                <w:rFonts w:ascii="Times New Roman" w:hAnsi="Times New Roman" w:cs="Times New Roman"/>
                <w:noProof/>
              </w:rPr>
              <w:t>Stakeholder workshop on carbon leakage risks and eligibility for a support measure</w:t>
            </w:r>
          </w:p>
        </w:tc>
        <w:tc>
          <w:tcPr>
            <w:tcW w:w="3081" w:type="dxa"/>
          </w:tcPr>
          <w:p w14:paraId="71E4D675" w14:textId="0BB5D1F8" w:rsidR="0063705E" w:rsidRPr="00AE5EFD" w:rsidRDefault="0000496A" w:rsidP="0063308C">
            <w:pPr>
              <w:keepNext/>
              <w:rPr>
                <w:rFonts w:ascii="Times New Roman" w:hAnsi="Times New Roman" w:cs="Times New Roman"/>
                <w:noProof/>
              </w:rPr>
            </w:pPr>
            <w:r>
              <w:rPr>
                <w:rFonts w:ascii="Times New Roman" w:hAnsi="Times New Roman" w:cs="Times New Roman"/>
                <w:noProof/>
              </w:rPr>
              <w:t>Industry representatives</w:t>
            </w:r>
            <w:r>
              <w:rPr>
                <w:rStyle w:val="FootnoteReference"/>
                <w:rFonts w:ascii="Times New Roman" w:hAnsi="Times New Roman" w:cs="Times New Roman"/>
                <w:noProof/>
              </w:rPr>
              <w:footnoteReference w:id="17"/>
            </w:r>
          </w:p>
        </w:tc>
      </w:tr>
      <w:tr w:rsidR="0063705E" w14:paraId="308571BC" w14:textId="77777777" w:rsidTr="00327364">
        <w:tc>
          <w:tcPr>
            <w:tcW w:w="2075" w:type="dxa"/>
          </w:tcPr>
          <w:p w14:paraId="052ACA2A" w14:textId="3649E93F" w:rsidR="0063705E" w:rsidRPr="00AE5EFD" w:rsidRDefault="0063705E" w:rsidP="0063705E">
            <w:pPr>
              <w:rPr>
                <w:rFonts w:ascii="Times New Roman" w:hAnsi="Times New Roman" w:cs="Times New Roman"/>
                <w:noProof/>
              </w:rPr>
            </w:pPr>
            <w:r>
              <w:rPr>
                <w:rFonts w:ascii="Times New Roman" w:hAnsi="Times New Roman" w:cs="Times New Roman"/>
                <w:noProof/>
              </w:rPr>
              <w:t>28 October 2025</w:t>
            </w:r>
          </w:p>
        </w:tc>
        <w:tc>
          <w:tcPr>
            <w:tcW w:w="3926" w:type="dxa"/>
          </w:tcPr>
          <w:p w14:paraId="559A5D23" w14:textId="50B14A65" w:rsidR="0063705E" w:rsidRPr="00AE5EFD" w:rsidRDefault="0063705E" w:rsidP="0063705E">
            <w:pPr>
              <w:rPr>
                <w:rFonts w:ascii="Times New Roman" w:hAnsi="Times New Roman" w:cs="Times New Roman"/>
                <w:noProof/>
              </w:rPr>
            </w:pPr>
            <w:r>
              <w:rPr>
                <w:rFonts w:ascii="Times New Roman" w:hAnsi="Times New Roman" w:cs="Times New Roman"/>
                <w:noProof/>
              </w:rPr>
              <w:t>High-Level Dialogue</w:t>
            </w:r>
          </w:p>
        </w:tc>
        <w:tc>
          <w:tcPr>
            <w:tcW w:w="3081" w:type="dxa"/>
          </w:tcPr>
          <w:p w14:paraId="1DF3E42E" w14:textId="3812DE35" w:rsidR="0063705E" w:rsidRPr="00AE5EFD" w:rsidRDefault="0003089C" w:rsidP="0063705E">
            <w:pPr>
              <w:rPr>
                <w:rFonts w:ascii="Times New Roman" w:hAnsi="Times New Roman" w:cs="Times New Roman"/>
                <w:noProof/>
              </w:rPr>
            </w:pPr>
            <w:r>
              <w:rPr>
                <w:rFonts w:ascii="Times New Roman" w:hAnsi="Times New Roman" w:cs="Times New Roman"/>
                <w:noProof/>
              </w:rPr>
              <w:t>Industry representatives</w:t>
            </w:r>
            <w:r>
              <w:rPr>
                <w:rStyle w:val="FootnoteReference"/>
                <w:rFonts w:ascii="Times New Roman" w:hAnsi="Times New Roman" w:cs="Times New Roman"/>
                <w:noProof/>
              </w:rPr>
              <w:footnoteReference w:id="18"/>
            </w:r>
          </w:p>
        </w:tc>
      </w:tr>
    </w:tbl>
    <w:p w14:paraId="1823A660" w14:textId="77777777" w:rsidR="00636FD0" w:rsidRDefault="00636FD0" w:rsidP="009B603A">
      <w:pPr>
        <w:jc w:val="both"/>
        <w:rPr>
          <w:rFonts w:ascii="Times New Roman" w:eastAsia="Times New Roman" w:hAnsi="Times New Roman" w:cs="Times New Roman"/>
          <w:noProof/>
          <w:lang w:val="en-IE"/>
        </w:rPr>
      </w:pPr>
    </w:p>
    <w:p w14:paraId="48D9D7F1" w14:textId="0B09F5B4" w:rsidR="007109D1" w:rsidRPr="00A3333B" w:rsidRDefault="002E45C5" w:rsidP="009B603A">
      <w:pPr>
        <w:jc w:val="both"/>
        <w:rPr>
          <w:rFonts w:ascii="Times New Roman" w:eastAsia="Times New Roman" w:hAnsi="Times New Roman" w:cs="Times New Roman"/>
          <w:noProof/>
          <w:lang w:val="en-IE"/>
        </w:rPr>
      </w:pPr>
      <w:r w:rsidRPr="00A3333B">
        <w:rPr>
          <w:rFonts w:ascii="Times New Roman" w:eastAsia="Times New Roman" w:hAnsi="Times New Roman" w:cs="Times New Roman"/>
          <w:noProof/>
          <w:lang w:val="en-IE"/>
        </w:rPr>
        <w:t xml:space="preserve">During these consultation </w:t>
      </w:r>
      <w:r w:rsidR="2FD2CF6D" w:rsidRPr="00A3333B">
        <w:rPr>
          <w:rFonts w:ascii="Times New Roman" w:eastAsia="Times New Roman" w:hAnsi="Times New Roman" w:cs="Times New Roman"/>
          <w:noProof/>
          <w:lang w:val="en-IE"/>
        </w:rPr>
        <w:t>activities</w:t>
      </w:r>
      <w:r w:rsidRPr="00A3333B">
        <w:rPr>
          <w:rFonts w:ascii="Times New Roman" w:eastAsia="Times New Roman" w:hAnsi="Times New Roman" w:cs="Times New Roman"/>
          <w:noProof/>
          <w:lang w:val="en-IE"/>
        </w:rPr>
        <w:t>, the Commission informed stakeholders about the planned support measure</w:t>
      </w:r>
      <w:r w:rsidR="00696043" w:rsidRPr="00A3333B">
        <w:rPr>
          <w:rFonts w:ascii="Times New Roman" w:eastAsia="Times New Roman" w:hAnsi="Times New Roman" w:cs="Times New Roman"/>
          <w:noProof/>
          <w:lang w:val="en-IE"/>
        </w:rPr>
        <w:t xml:space="preserve">, including plans for its overall design and </w:t>
      </w:r>
      <w:r w:rsidR="001377C8" w:rsidRPr="00A3333B">
        <w:rPr>
          <w:rFonts w:ascii="Times New Roman" w:eastAsia="Times New Roman" w:hAnsi="Times New Roman" w:cs="Times New Roman"/>
          <w:noProof/>
          <w:lang w:val="en-IE"/>
        </w:rPr>
        <w:t xml:space="preserve">reflections about the eligibility for support and the conditions that would need to be fulfilled to receive </w:t>
      </w:r>
      <w:r w:rsidR="009B603A" w:rsidRPr="00A3333B">
        <w:rPr>
          <w:rFonts w:ascii="Times New Roman" w:eastAsia="Times New Roman" w:hAnsi="Times New Roman" w:cs="Times New Roman"/>
          <w:noProof/>
          <w:lang w:val="en-IE"/>
        </w:rPr>
        <w:t>it.</w:t>
      </w:r>
    </w:p>
    <w:p w14:paraId="73969111" w14:textId="2C96A375" w:rsidR="009B603A" w:rsidRPr="00A3333B" w:rsidRDefault="009B603A" w:rsidP="00EB7320">
      <w:pPr>
        <w:keepNext/>
        <w:jc w:val="both"/>
        <w:rPr>
          <w:rFonts w:ascii="Times New Roman" w:eastAsia="Times New Roman" w:hAnsi="Times New Roman" w:cs="Times New Roman"/>
          <w:noProof/>
          <w:lang w:val="en-IE"/>
        </w:rPr>
      </w:pPr>
      <w:r w:rsidRPr="00A3333B">
        <w:rPr>
          <w:rFonts w:ascii="Times New Roman" w:eastAsia="Times New Roman" w:hAnsi="Times New Roman" w:cs="Times New Roman"/>
          <w:noProof/>
          <w:lang w:val="en-IE"/>
        </w:rPr>
        <w:t xml:space="preserve">Stakeholders </w:t>
      </w:r>
      <w:r w:rsidR="008B176F" w:rsidRPr="00A3333B">
        <w:rPr>
          <w:rFonts w:ascii="Times New Roman" w:eastAsia="Times New Roman" w:hAnsi="Times New Roman" w:cs="Times New Roman"/>
          <w:noProof/>
          <w:lang w:val="en-IE"/>
        </w:rPr>
        <w:t>provided their feedback notably on</w:t>
      </w:r>
      <w:r w:rsidR="00FC71AE" w:rsidRPr="00A3333B">
        <w:rPr>
          <w:rFonts w:ascii="Times New Roman" w:eastAsia="Times New Roman" w:hAnsi="Times New Roman" w:cs="Times New Roman"/>
          <w:noProof/>
          <w:lang w:val="en-IE"/>
        </w:rPr>
        <w:t xml:space="preserve"> the following points</w:t>
      </w:r>
      <w:r w:rsidR="0513A390" w:rsidRPr="00A3333B">
        <w:rPr>
          <w:rFonts w:ascii="Times New Roman" w:eastAsia="Times New Roman" w:hAnsi="Times New Roman" w:cs="Times New Roman"/>
          <w:noProof/>
          <w:lang w:val="en-IE"/>
        </w:rPr>
        <w:t>:</w:t>
      </w:r>
    </w:p>
    <w:p w14:paraId="3FBA9F0F" w14:textId="170E8FF3" w:rsidR="008B176F" w:rsidRPr="00A3333B" w:rsidRDefault="00FC71AE" w:rsidP="00E36105">
      <w:pPr>
        <w:pStyle w:val="ListParagraph"/>
        <w:keepNext/>
        <w:numPr>
          <w:ilvl w:val="0"/>
          <w:numId w:val="11"/>
        </w:numPr>
        <w:spacing w:after="0"/>
        <w:jc w:val="both"/>
        <w:rPr>
          <w:rFonts w:ascii="Times New Roman" w:eastAsia="Times New Roman" w:hAnsi="Times New Roman" w:cs="Times New Roman"/>
          <w:noProof/>
          <w:lang w:val="en-IE"/>
        </w:rPr>
      </w:pPr>
      <w:r w:rsidRPr="00A3333B">
        <w:rPr>
          <w:rFonts w:ascii="Times New Roman" w:eastAsia="Times New Roman" w:hAnsi="Times New Roman" w:cs="Times New Roman"/>
          <w:noProof/>
          <w:lang w:val="en-IE"/>
        </w:rPr>
        <w:t>n</w:t>
      </w:r>
      <w:r w:rsidR="008B176F" w:rsidRPr="00A3333B">
        <w:rPr>
          <w:rFonts w:ascii="Times New Roman" w:eastAsia="Times New Roman" w:hAnsi="Times New Roman" w:cs="Times New Roman"/>
          <w:noProof/>
          <w:lang w:val="en-IE"/>
        </w:rPr>
        <w:t>eed for a support measure</w:t>
      </w:r>
    </w:p>
    <w:p w14:paraId="6F2CEF92" w14:textId="3777BE3B" w:rsidR="00C64CB3" w:rsidRPr="00A3333B" w:rsidRDefault="461FE8E3" w:rsidP="00E36105">
      <w:pPr>
        <w:numPr>
          <w:ilvl w:val="1"/>
          <w:numId w:val="11"/>
        </w:numPr>
        <w:spacing w:after="0"/>
        <w:jc w:val="both"/>
        <w:rPr>
          <w:rFonts w:ascii="Times New Roman" w:eastAsia="Times New Roman" w:hAnsi="Times New Roman" w:cs="Times New Roman"/>
          <w:noProof/>
          <w:lang w:val="en-IE"/>
        </w:rPr>
      </w:pPr>
      <w:r w:rsidRPr="00A3333B">
        <w:rPr>
          <w:rFonts w:ascii="Times New Roman" w:eastAsia="Times New Roman" w:hAnsi="Times New Roman" w:cs="Times New Roman"/>
          <w:noProof/>
          <w:lang w:val="en-IE"/>
        </w:rPr>
        <w:t xml:space="preserve">Some stakeholders pointed out that there is an urgent need for a measure tackling the </w:t>
      </w:r>
      <w:r w:rsidR="7B4BF4F8" w:rsidRPr="00A3333B">
        <w:rPr>
          <w:rFonts w:ascii="Times New Roman" w:hAnsi="Times New Roman" w:cs="Times New Roman"/>
          <w:noProof/>
        </w:rPr>
        <w:t>remaining</w:t>
      </w:r>
      <w:r w:rsidRPr="00A3333B">
        <w:rPr>
          <w:rFonts w:ascii="Times New Roman" w:eastAsia="Times New Roman" w:hAnsi="Times New Roman" w:cs="Times New Roman"/>
          <w:noProof/>
          <w:lang w:val="en-IE"/>
        </w:rPr>
        <w:t xml:space="preserve"> carbon leakage risk</w:t>
      </w:r>
      <w:r w:rsidR="007A72CA" w:rsidRPr="00A3333B">
        <w:rPr>
          <w:rFonts w:ascii="Times New Roman" w:eastAsia="Times New Roman" w:hAnsi="Times New Roman" w:cs="Times New Roman"/>
          <w:noProof/>
          <w:lang w:val="en-IE"/>
        </w:rPr>
        <w:t>, notably in light of the phase-out of free allocation</w:t>
      </w:r>
      <w:r w:rsidR="44C945C8" w:rsidRPr="00A3333B">
        <w:rPr>
          <w:rFonts w:ascii="Times New Roman" w:eastAsia="Times New Roman" w:hAnsi="Times New Roman" w:cs="Times New Roman"/>
          <w:noProof/>
          <w:lang w:val="en-IE"/>
        </w:rPr>
        <w:t>.</w:t>
      </w:r>
    </w:p>
    <w:p w14:paraId="3EC82CB9" w14:textId="7D703A38" w:rsidR="008B176F" w:rsidRPr="00A3333B" w:rsidRDefault="00FC71AE" w:rsidP="00E36105">
      <w:pPr>
        <w:pStyle w:val="ListParagraph"/>
        <w:numPr>
          <w:ilvl w:val="0"/>
          <w:numId w:val="11"/>
        </w:numPr>
        <w:spacing w:after="0"/>
        <w:jc w:val="both"/>
        <w:rPr>
          <w:rFonts w:ascii="Times New Roman" w:eastAsia="Times New Roman" w:hAnsi="Times New Roman" w:cs="Times New Roman"/>
          <w:noProof/>
          <w:lang w:val="en-IE"/>
        </w:rPr>
      </w:pPr>
      <w:r w:rsidRPr="00A3333B">
        <w:rPr>
          <w:rFonts w:ascii="Times New Roman" w:eastAsia="Times New Roman" w:hAnsi="Times New Roman" w:cs="Times New Roman"/>
          <w:noProof/>
          <w:lang w:val="en-IE"/>
        </w:rPr>
        <w:t>form of support</w:t>
      </w:r>
    </w:p>
    <w:p w14:paraId="69AF199E" w14:textId="72D90506" w:rsidR="00C64CB3" w:rsidRPr="00A3333B" w:rsidRDefault="3A4540B3" w:rsidP="00E36105">
      <w:pPr>
        <w:pStyle w:val="ListParagraph"/>
        <w:numPr>
          <w:ilvl w:val="1"/>
          <w:numId w:val="11"/>
        </w:numPr>
        <w:spacing w:after="0"/>
        <w:jc w:val="both"/>
        <w:rPr>
          <w:rFonts w:ascii="Times New Roman" w:eastAsia="Times New Roman" w:hAnsi="Times New Roman" w:cs="Times New Roman"/>
          <w:noProof/>
          <w:lang w:val="en-IE"/>
        </w:rPr>
      </w:pPr>
      <w:r w:rsidRPr="00A3333B">
        <w:rPr>
          <w:rFonts w:ascii="Times New Roman" w:eastAsia="Times New Roman" w:hAnsi="Times New Roman" w:cs="Times New Roman"/>
          <w:noProof/>
          <w:lang w:val="en-IE"/>
        </w:rPr>
        <w:t xml:space="preserve">Many stakeholders </w:t>
      </w:r>
      <w:r w:rsidR="67A83567" w:rsidRPr="00A3333B">
        <w:rPr>
          <w:rFonts w:ascii="Times New Roman" w:eastAsia="Times New Roman" w:hAnsi="Times New Roman" w:cs="Times New Roman"/>
          <w:noProof/>
          <w:lang w:val="en-IE"/>
        </w:rPr>
        <w:t xml:space="preserve">asked for a delay of the phase-out of free </w:t>
      </w:r>
      <w:r w:rsidR="4EF4137C" w:rsidRPr="00A3333B">
        <w:rPr>
          <w:rFonts w:ascii="Times New Roman" w:eastAsia="Times New Roman" w:hAnsi="Times New Roman" w:cs="Times New Roman"/>
          <w:noProof/>
          <w:lang w:val="en-IE"/>
        </w:rPr>
        <w:t>allocation</w:t>
      </w:r>
      <w:r w:rsidR="1CF0F23E" w:rsidRPr="00A3333B">
        <w:rPr>
          <w:rFonts w:ascii="Times New Roman" w:eastAsia="Times New Roman" w:hAnsi="Times New Roman" w:cs="Times New Roman"/>
          <w:noProof/>
          <w:lang w:val="en-IE"/>
        </w:rPr>
        <w:t>.</w:t>
      </w:r>
    </w:p>
    <w:p w14:paraId="0DAD90D4" w14:textId="6907557F" w:rsidR="00C64CB3" w:rsidRPr="00A3333B" w:rsidRDefault="67A83567" w:rsidP="00E36105">
      <w:pPr>
        <w:pStyle w:val="ListParagraph"/>
        <w:numPr>
          <w:ilvl w:val="1"/>
          <w:numId w:val="11"/>
        </w:numPr>
        <w:spacing w:after="0"/>
        <w:jc w:val="both"/>
        <w:rPr>
          <w:rFonts w:ascii="Times New Roman" w:eastAsia="Times New Roman" w:hAnsi="Times New Roman" w:cs="Times New Roman"/>
          <w:noProof/>
          <w:lang w:val="en-IE"/>
        </w:rPr>
      </w:pPr>
      <w:r w:rsidRPr="00A3333B">
        <w:rPr>
          <w:rFonts w:ascii="Times New Roman" w:eastAsia="Times New Roman" w:hAnsi="Times New Roman" w:cs="Times New Roman"/>
          <w:noProof/>
          <w:lang w:val="en-IE"/>
        </w:rPr>
        <w:t xml:space="preserve">Many stakeholders asked not to use State Aid as support mechanism to avoid </w:t>
      </w:r>
      <w:r w:rsidR="2C2151DB" w:rsidRPr="00A3333B">
        <w:rPr>
          <w:rFonts w:ascii="Times New Roman" w:eastAsia="Times New Roman" w:hAnsi="Times New Roman" w:cs="Times New Roman"/>
          <w:noProof/>
          <w:lang w:val="en-IE"/>
        </w:rPr>
        <w:t xml:space="preserve">unequal treatment between </w:t>
      </w:r>
      <w:r w:rsidR="00BB5837" w:rsidRPr="00A3333B">
        <w:rPr>
          <w:rFonts w:ascii="Times New Roman" w:eastAsia="Times New Roman" w:hAnsi="Times New Roman" w:cs="Times New Roman"/>
          <w:noProof/>
          <w:lang w:val="en-IE"/>
        </w:rPr>
        <w:t xml:space="preserve">operators located in different </w:t>
      </w:r>
      <w:r w:rsidR="2C2151DB" w:rsidRPr="00A3333B">
        <w:rPr>
          <w:rFonts w:ascii="Times New Roman" w:eastAsia="Times New Roman" w:hAnsi="Times New Roman" w:cs="Times New Roman"/>
          <w:noProof/>
          <w:lang w:val="en-IE"/>
        </w:rPr>
        <w:t>M</w:t>
      </w:r>
      <w:r w:rsidR="002E0182" w:rsidRPr="00A3333B">
        <w:rPr>
          <w:rFonts w:ascii="Times New Roman" w:eastAsia="Times New Roman" w:hAnsi="Times New Roman" w:cs="Times New Roman"/>
          <w:noProof/>
          <w:lang w:val="en-IE"/>
        </w:rPr>
        <w:t xml:space="preserve">ember </w:t>
      </w:r>
      <w:r w:rsidR="2C2151DB" w:rsidRPr="00A3333B">
        <w:rPr>
          <w:rFonts w:ascii="Times New Roman" w:eastAsia="Times New Roman" w:hAnsi="Times New Roman" w:cs="Times New Roman"/>
          <w:noProof/>
          <w:lang w:val="en-IE"/>
        </w:rPr>
        <w:t>S</w:t>
      </w:r>
      <w:r w:rsidR="002E0182" w:rsidRPr="00A3333B">
        <w:rPr>
          <w:rFonts w:ascii="Times New Roman" w:eastAsia="Times New Roman" w:hAnsi="Times New Roman" w:cs="Times New Roman"/>
          <w:noProof/>
          <w:lang w:val="en-IE"/>
        </w:rPr>
        <w:t>tates</w:t>
      </w:r>
      <w:r w:rsidR="2C2151DB" w:rsidRPr="00A3333B">
        <w:rPr>
          <w:rFonts w:ascii="Times New Roman" w:eastAsia="Times New Roman" w:hAnsi="Times New Roman" w:cs="Times New Roman"/>
          <w:noProof/>
          <w:lang w:val="en-IE"/>
        </w:rPr>
        <w:t>.</w:t>
      </w:r>
      <w:r w:rsidR="0A31C572" w:rsidRPr="00A3333B">
        <w:rPr>
          <w:rFonts w:ascii="Times New Roman" w:eastAsia="Times New Roman" w:hAnsi="Times New Roman" w:cs="Times New Roman"/>
          <w:noProof/>
          <w:lang w:val="en-IE"/>
        </w:rPr>
        <w:t xml:space="preserve"> </w:t>
      </w:r>
      <w:r w:rsidR="00A447DB" w:rsidRPr="00A3333B">
        <w:rPr>
          <w:rFonts w:ascii="Times New Roman" w:eastAsia="Times New Roman" w:hAnsi="Times New Roman" w:cs="Times New Roman"/>
          <w:noProof/>
          <w:lang w:val="en-IE"/>
        </w:rPr>
        <w:t>Several stakeholders pointed out the importance of ensuring WTO compatibility</w:t>
      </w:r>
      <w:r w:rsidR="00D721BF" w:rsidRPr="00A3333B">
        <w:rPr>
          <w:rFonts w:ascii="Times New Roman" w:eastAsia="Times New Roman" w:hAnsi="Times New Roman" w:cs="Times New Roman"/>
          <w:noProof/>
          <w:lang w:val="en-IE"/>
        </w:rPr>
        <w:t>.</w:t>
      </w:r>
    </w:p>
    <w:p w14:paraId="530B7AF5" w14:textId="635C31F3" w:rsidR="00FC71AE" w:rsidRPr="00A3333B" w:rsidRDefault="00FC71AE" w:rsidP="00E36105">
      <w:pPr>
        <w:pStyle w:val="ListParagraph"/>
        <w:numPr>
          <w:ilvl w:val="0"/>
          <w:numId w:val="11"/>
        </w:numPr>
        <w:spacing w:after="0"/>
        <w:jc w:val="both"/>
        <w:rPr>
          <w:rFonts w:ascii="Times New Roman" w:eastAsia="Times New Roman" w:hAnsi="Times New Roman" w:cs="Times New Roman"/>
          <w:noProof/>
          <w:lang w:val="en-IE"/>
        </w:rPr>
      </w:pPr>
      <w:r w:rsidRPr="00A3333B">
        <w:rPr>
          <w:rFonts w:ascii="Times New Roman" w:eastAsia="Times New Roman" w:hAnsi="Times New Roman" w:cs="Times New Roman"/>
          <w:noProof/>
          <w:lang w:val="en-IE"/>
        </w:rPr>
        <w:t>eligibility for support</w:t>
      </w:r>
    </w:p>
    <w:p w14:paraId="63FE0355" w14:textId="1B747821" w:rsidR="00C64CB3" w:rsidRPr="00A3333B" w:rsidRDefault="5470A262" w:rsidP="00E36105">
      <w:pPr>
        <w:pStyle w:val="ListParagraph"/>
        <w:numPr>
          <w:ilvl w:val="1"/>
          <w:numId w:val="11"/>
        </w:numPr>
        <w:spacing w:after="0"/>
        <w:jc w:val="both"/>
        <w:rPr>
          <w:rFonts w:ascii="Times New Roman" w:eastAsia="Times New Roman" w:hAnsi="Times New Roman" w:cs="Times New Roman"/>
          <w:noProof/>
          <w:lang w:val="en-IE"/>
        </w:rPr>
      </w:pPr>
      <w:r w:rsidRPr="00A3333B">
        <w:rPr>
          <w:rFonts w:ascii="Times New Roman" w:eastAsia="Times New Roman" w:hAnsi="Times New Roman" w:cs="Times New Roman"/>
          <w:noProof/>
          <w:lang w:val="en-IE"/>
        </w:rPr>
        <w:t>Some stakeholders mentioned the need to also consider downstream products</w:t>
      </w:r>
      <w:r w:rsidR="3E9ACE92" w:rsidRPr="00A3333B">
        <w:rPr>
          <w:rFonts w:ascii="Times New Roman" w:eastAsia="Times New Roman" w:hAnsi="Times New Roman" w:cs="Times New Roman"/>
          <w:noProof/>
          <w:lang w:val="en-IE"/>
        </w:rPr>
        <w:t>.</w:t>
      </w:r>
    </w:p>
    <w:p w14:paraId="17AF5D1B" w14:textId="748837AA" w:rsidR="2FBF135D" w:rsidRPr="00A3333B" w:rsidRDefault="3E9ACE92" w:rsidP="00E36105">
      <w:pPr>
        <w:pStyle w:val="ListParagraph"/>
        <w:numPr>
          <w:ilvl w:val="1"/>
          <w:numId w:val="11"/>
        </w:numPr>
        <w:spacing w:after="0"/>
        <w:jc w:val="both"/>
        <w:rPr>
          <w:rFonts w:ascii="Times New Roman" w:eastAsia="Times New Roman" w:hAnsi="Times New Roman" w:cs="Times New Roman"/>
          <w:noProof/>
          <w:lang w:val="en-IE"/>
        </w:rPr>
      </w:pPr>
      <w:r w:rsidRPr="00A3333B">
        <w:rPr>
          <w:rFonts w:ascii="Times New Roman" w:eastAsia="Times New Roman" w:hAnsi="Times New Roman" w:cs="Times New Roman"/>
          <w:noProof/>
          <w:lang w:val="en-IE"/>
        </w:rPr>
        <w:t>Some stakeholders pointed out that it is important to also consider national differences.</w:t>
      </w:r>
    </w:p>
    <w:p w14:paraId="7665476A" w14:textId="515AD9D7" w:rsidR="4874CAC4" w:rsidRPr="00A3333B" w:rsidRDefault="3E9ACE92" w:rsidP="00E36105">
      <w:pPr>
        <w:pStyle w:val="ListParagraph"/>
        <w:numPr>
          <w:ilvl w:val="1"/>
          <w:numId w:val="11"/>
        </w:numPr>
        <w:spacing w:after="0"/>
        <w:jc w:val="both"/>
        <w:rPr>
          <w:rFonts w:ascii="Times New Roman" w:eastAsia="Times New Roman" w:hAnsi="Times New Roman" w:cs="Times New Roman"/>
          <w:noProof/>
          <w:lang w:val="en-IE"/>
        </w:rPr>
      </w:pPr>
      <w:r w:rsidRPr="00A3333B">
        <w:rPr>
          <w:rFonts w:ascii="Times New Roman" w:eastAsia="Times New Roman" w:hAnsi="Times New Roman" w:cs="Times New Roman"/>
          <w:noProof/>
          <w:lang w:val="en-IE"/>
        </w:rPr>
        <w:t xml:space="preserve">Some stakeholders argued that </w:t>
      </w:r>
      <w:r w:rsidR="00B36992" w:rsidRPr="00A3333B">
        <w:rPr>
          <w:rFonts w:ascii="Times New Roman" w:eastAsia="Times New Roman" w:hAnsi="Times New Roman" w:cs="Times New Roman"/>
          <w:noProof/>
          <w:lang w:val="en-IE"/>
        </w:rPr>
        <w:t xml:space="preserve">they would prefer </w:t>
      </w:r>
      <w:r w:rsidRPr="00A3333B">
        <w:rPr>
          <w:rFonts w:ascii="Times New Roman" w:eastAsia="Times New Roman" w:hAnsi="Times New Roman" w:cs="Times New Roman"/>
          <w:noProof/>
          <w:lang w:val="en-IE"/>
        </w:rPr>
        <w:t xml:space="preserve">support </w:t>
      </w:r>
      <w:r w:rsidR="00151B42" w:rsidRPr="00A3333B">
        <w:rPr>
          <w:rFonts w:ascii="Times New Roman" w:eastAsia="Times New Roman" w:hAnsi="Times New Roman" w:cs="Times New Roman"/>
          <w:noProof/>
          <w:lang w:val="en-IE"/>
        </w:rPr>
        <w:t>for</w:t>
      </w:r>
      <w:r w:rsidRPr="00A3333B">
        <w:rPr>
          <w:rFonts w:ascii="Times New Roman" w:eastAsia="Times New Roman" w:hAnsi="Times New Roman" w:cs="Times New Roman"/>
          <w:noProof/>
          <w:lang w:val="en-IE"/>
        </w:rPr>
        <w:t xml:space="preserve"> </w:t>
      </w:r>
      <w:r w:rsidR="5E47E850" w:rsidRPr="00A3333B">
        <w:rPr>
          <w:rFonts w:ascii="Times New Roman" w:eastAsia="Times New Roman" w:hAnsi="Times New Roman" w:cs="Times New Roman"/>
          <w:noProof/>
          <w:lang w:val="en-IE"/>
        </w:rPr>
        <w:t xml:space="preserve">producers depending on their </w:t>
      </w:r>
      <w:r w:rsidR="007D0F36">
        <w:rPr>
          <w:rFonts w:ascii="Times New Roman" w:eastAsia="Times New Roman" w:hAnsi="Times New Roman" w:cs="Times New Roman"/>
          <w:noProof/>
          <w:lang w:val="en-IE"/>
        </w:rPr>
        <w:t>trade intensity</w:t>
      </w:r>
      <w:r w:rsidR="5E47E850" w:rsidRPr="00A3333B">
        <w:rPr>
          <w:rFonts w:ascii="Times New Roman" w:eastAsia="Times New Roman" w:hAnsi="Times New Roman" w:cs="Times New Roman"/>
          <w:noProof/>
          <w:lang w:val="en-IE"/>
        </w:rPr>
        <w:t>.</w:t>
      </w:r>
    </w:p>
    <w:p w14:paraId="6EDAC679" w14:textId="31FD1F9E" w:rsidR="00C64CB3" w:rsidRPr="00A3333B" w:rsidRDefault="28393248" w:rsidP="0F2F36C2">
      <w:pPr>
        <w:pStyle w:val="ListParagraph"/>
        <w:numPr>
          <w:ilvl w:val="1"/>
          <w:numId w:val="11"/>
        </w:numPr>
        <w:spacing w:after="0"/>
        <w:jc w:val="both"/>
        <w:rPr>
          <w:rFonts w:ascii="Times New Roman" w:eastAsia="Times New Roman" w:hAnsi="Times New Roman" w:cs="Times New Roman"/>
          <w:noProof/>
          <w:lang w:val="en-IE"/>
        </w:rPr>
      </w:pPr>
      <w:r w:rsidRPr="00A3333B">
        <w:rPr>
          <w:rFonts w:ascii="Times New Roman" w:eastAsia="Times New Roman" w:hAnsi="Times New Roman" w:cs="Times New Roman"/>
          <w:noProof/>
          <w:lang w:val="en-IE"/>
        </w:rPr>
        <w:t>Some stakeholders expressed scepticism about the level of disaggregation of the analysis (at 8-digit CN code level).</w:t>
      </w:r>
    </w:p>
    <w:p w14:paraId="51423321" w14:textId="10261B1B" w:rsidR="00C64CB3" w:rsidRPr="00A3333B" w:rsidRDefault="06745BF6" w:rsidP="0F2F36C2">
      <w:pPr>
        <w:pStyle w:val="ListParagraph"/>
        <w:numPr>
          <w:ilvl w:val="1"/>
          <w:numId w:val="11"/>
        </w:numPr>
        <w:spacing w:after="0"/>
        <w:jc w:val="both"/>
        <w:rPr>
          <w:rFonts w:ascii="Times New Roman" w:eastAsia="Times New Roman" w:hAnsi="Times New Roman" w:cs="Times New Roman"/>
          <w:noProof/>
          <w:lang w:val="en-IE"/>
        </w:rPr>
      </w:pPr>
      <w:r w:rsidRPr="00A3333B">
        <w:rPr>
          <w:rFonts w:ascii="Times New Roman" w:eastAsia="Times New Roman" w:hAnsi="Times New Roman" w:cs="Times New Roman"/>
          <w:noProof/>
          <w:lang w:val="en-IE"/>
        </w:rPr>
        <w:t xml:space="preserve">Some stakeholders remarked that trade patterns are volatile and that the </w:t>
      </w:r>
      <w:r w:rsidR="5318AF98" w:rsidRPr="00A3333B">
        <w:rPr>
          <w:rFonts w:ascii="Times New Roman" w:eastAsia="Times New Roman" w:hAnsi="Times New Roman" w:cs="Times New Roman"/>
          <w:noProof/>
          <w:lang w:val="en-IE"/>
        </w:rPr>
        <w:t xml:space="preserve">trade data </w:t>
      </w:r>
      <w:r w:rsidR="1D8FD116" w:rsidRPr="00A3333B">
        <w:rPr>
          <w:rFonts w:ascii="Times New Roman" w:eastAsia="Times New Roman" w:hAnsi="Times New Roman" w:cs="Times New Roman"/>
          <w:noProof/>
          <w:lang w:val="en-IE"/>
        </w:rPr>
        <w:t xml:space="preserve">used </w:t>
      </w:r>
      <w:r w:rsidR="5318AF98" w:rsidRPr="00A3333B">
        <w:rPr>
          <w:rFonts w:ascii="Times New Roman" w:eastAsia="Times New Roman" w:hAnsi="Times New Roman" w:cs="Times New Roman"/>
          <w:noProof/>
          <w:lang w:val="en-IE"/>
        </w:rPr>
        <w:t>from</w:t>
      </w:r>
      <w:r w:rsidRPr="00A3333B">
        <w:rPr>
          <w:rFonts w:ascii="Times New Roman" w:eastAsia="Times New Roman" w:hAnsi="Times New Roman" w:cs="Times New Roman"/>
          <w:noProof/>
          <w:lang w:val="en-IE"/>
        </w:rPr>
        <w:t xml:space="preserve"> 2022</w:t>
      </w:r>
      <w:r w:rsidR="650AB28D" w:rsidRPr="00A3333B">
        <w:rPr>
          <w:rFonts w:ascii="Times New Roman" w:eastAsia="Times New Roman" w:hAnsi="Times New Roman" w:cs="Times New Roman"/>
          <w:noProof/>
          <w:lang w:val="en-IE"/>
        </w:rPr>
        <w:t xml:space="preserve"> </w:t>
      </w:r>
      <w:r w:rsidR="28B6B514" w:rsidRPr="00A3333B">
        <w:rPr>
          <w:rFonts w:ascii="Times New Roman" w:eastAsia="Times New Roman" w:hAnsi="Times New Roman" w:cs="Times New Roman"/>
          <w:noProof/>
          <w:lang w:val="en-IE"/>
        </w:rPr>
        <w:t>until</w:t>
      </w:r>
      <w:r w:rsidR="650AB28D" w:rsidRPr="00A3333B">
        <w:rPr>
          <w:rFonts w:ascii="Times New Roman" w:eastAsia="Times New Roman" w:hAnsi="Times New Roman" w:cs="Times New Roman"/>
          <w:noProof/>
          <w:lang w:val="en-IE"/>
        </w:rPr>
        <w:t xml:space="preserve"> </w:t>
      </w:r>
      <w:r w:rsidRPr="00A3333B">
        <w:rPr>
          <w:rFonts w:ascii="Times New Roman" w:eastAsia="Times New Roman" w:hAnsi="Times New Roman" w:cs="Times New Roman"/>
          <w:noProof/>
          <w:lang w:val="en-IE"/>
        </w:rPr>
        <w:t xml:space="preserve">2024 </w:t>
      </w:r>
      <w:r w:rsidR="0107CD84" w:rsidRPr="00A3333B">
        <w:rPr>
          <w:rFonts w:ascii="Times New Roman" w:eastAsia="Times New Roman" w:hAnsi="Times New Roman" w:cs="Times New Roman"/>
          <w:noProof/>
          <w:lang w:val="en-IE"/>
        </w:rPr>
        <w:t>would be marked by post-Covid and the energy crisis.</w:t>
      </w:r>
    </w:p>
    <w:p w14:paraId="73BA62B9" w14:textId="105EB182" w:rsidR="00FC71AE" w:rsidRPr="00A3333B" w:rsidRDefault="00FC71AE" w:rsidP="00E36105">
      <w:pPr>
        <w:pStyle w:val="ListParagraph"/>
        <w:numPr>
          <w:ilvl w:val="0"/>
          <w:numId w:val="11"/>
        </w:numPr>
        <w:spacing w:after="0"/>
        <w:jc w:val="both"/>
        <w:rPr>
          <w:rFonts w:ascii="Times New Roman" w:eastAsia="Times New Roman" w:hAnsi="Times New Roman" w:cs="Times New Roman"/>
          <w:noProof/>
          <w:lang w:val="en-IE"/>
        </w:rPr>
      </w:pPr>
      <w:r w:rsidRPr="00A3333B">
        <w:rPr>
          <w:rFonts w:ascii="Times New Roman" w:eastAsia="Times New Roman" w:hAnsi="Times New Roman" w:cs="Times New Roman"/>
          <w:noProof/>
          <w:lang w:val="en-IE"/>
        </w:rPr>
        <w:t xml:space="preserve">conditions for receiving support </w:t>
      </w:r>
    </w:p>
    <w:p w14:paraId="4D976A00" w14:textId="0C2362A2" w:rsidR="00C64CB3" w:rsidRPr="00A3333B" w:rsidRDefault="1A70170A" w:rsidP="00E36105">
      <w:pPr>
        <w:pStyle w:val="ListParagraph"/>
        <w:numPr>
          <w:ilvl w:val="1"/>
          <w:numId w:val="11"/>
        </w:numPr>
        <w:spacing w:after="0"/>
        <w:jc w:val="both"/>
        <w:rPr>
          <w:rFonts w:ascii="Times New Roman" w:eastAsia="Times New Roman" w:hAnsi="Times New Roman" w:cs="Times New Roman"/>
          <w:noProof/>
          <w:lang w:val="en-IE"/>
        </w:rPr>
      </w:pPr>
      <w:r w:rsidRPr="00A3333B">
        <w:rPr>
          <w:rFonts w:ascii="Times New Roman" w:eastAsia="Times New Roman" w:hAnsi="Times New Roman" w:cs="Times New Roman"/>
          <w:noProof/>
          <w:lang w:val="en-IE"/>
        </w:rPr>
        <w:t>Some stakeholders asked for the conditionality to be simple and not too bureaucratic.</w:t>
      </w:r>
    </w:p>
    <w:p w14:paraId="22E70291" w14:textId="77777777" w:rsidR="00155065" w:rsidRPr="008B176F" w:rsidRDefault="00155065" w:rsidP="00C64CB3">
      <w:pPr>
        <w:pStyle w:val="ListParagraph"/>
        <w:ind w:left="1080"/>
        <w:jc w:val="both"/>
        <w:rPr>
          <w:rFonts w:ascii="Times New Roman" w:eastAsia="Times New Roman" w:hAnsi="Times New Roman" w:cs="Times New Roman"/>
          <w:noProof/>
          <w:lang w:val="en-IE"/>
        </w:rPr>
      </w:pPr>
    </w:p>
    <w:p w14:paraId="269ED7DF" w14:textId="77777777" w:rsidR="0045284A" w:rsidRDefault="0045284A">
      <w:pPr>
        <w:rPr>
          <w:rFonts w:ascii="Times New Roman" w:eastAsia="Times New Roman" w:hAnsi="Times New Roman" w:cs="Times New Roman"/>
          <w:noProof/>
          <w:color w:val="2F5496" w:themeColor="accent1" w:themeShade="BF"/>
          <w:sz w:val="26"/>
          <w:szCs w:val="26"/>
          <w:lang w:val="en-IE"/>
        </w:rPr>
      </w:pPr>
    </w:p>
    <w:p w14:paraId="5E6C6BBF" w14:textId="77777777" w:rsidR="00250BAA" w:rsidRDefault="00250BAA">
      <w:pPr>
        <w:rPr>
          <w:rFonts w:ascii="Times New Roman" w:eastAsia="Times New Roman" w:hAnsi="Times New Roman" w:cs="Times New Roman"/>
          <w:noProof/>
          <w:color w:val="2F5496" w:themeColor="accent1" w:themeShade="BF"/>
          <w:sz w:val="26"/>
          <w:szCs w:val="26"/>
          <w:lang w:val="en-IE"/>
        </w:rPr>
      </w:pPr>
    </w:p>
    <w:p w14:paraId="23A32199" w14:textId="77777777" w:rsidR="00250BAA" w:rsidRDefault="00250BAA">
      <w:pPr>
        <w:rPr>
          <w:rFonts w:ascii="Times New Roman" w:eastAsia="Times New Roman" w:hAnsi="Times New Roman" w:cs="Times New Roman"/>
          <w:noProof/>
          <w:color w:val="2F5496" w:themeColor="accent1" w:themeShade="BF"/>
          <w:sz w:val="26"/>
          <w:szCs w:val="26"/>
          <w:lang w:val="en-IE"/>
        </w:rPr>
      </w:pPr>
    </w:p>
    <w:p w14:paraId="61712770" w14:textId="77777777" w:rsidR="00250BAA" w:rsidRDefault="00250BAA">
      <w:pPr>
        <w:rPr>
          <w:rFonts w:ascii="Times New Roman" w:eastAsia="Times New Roman" w:hAnsi="Times New Roman" w:cs="Times New Roman"/>
          <w:noProof/>
          <w:color w:val="2F5496" w:themeColor="accent1" w:themeShade="BF"/>
          <w:sz w:val="26"/>
          <w:szCs w:val="26"/>
          <w:lang w:val="en-IE"/>
        </w:rPr>
      </w:pPr>
    </w:p>
    <w:p w14:paraId="1C5D66AF" w14:textId="77777777" w:rsidR="00250BAA" w:rsidRDefault="00250BAA">
      <w:pPr>
        <w:rPr>
          <w:rFonts w:ascii="Times New Roman" w:eastAsia="Times New Roman" w:hAnsi="Times New Roman" w:cs="Times New Roman"/>
          <w:noProof/>
          <w:color w:val="2F5496" w:themeColor="accent1" w:themeShade="BF"/>
          <w:sz w:val="26"/>
          <w:szCs w:val="26"/>
          <w:lang w:val="en-IE"/>
        </w:rPr>
      </w:pPr>
    </w:p>
    <w:p w14:paraId="0A17353B" w14:textId="77777777" w:rsidR="00250BAA" w:rsidRDefault="00250BAA">
      <w:pPr>
        <w:rPr>
          <w:rFonts w:ascii="Times New Roman" w:eastAsia="Times New Roman" w:hAnsi="Times New Roman" w:cs="Times New Roman"/>
          <w:noProof/>
          <w:color w:val="2F5496" w:themeColor="accent1" w:themeShade="BF"/>
          <w:sz w:val="26"/>
          <w:szCs w:val="26"/>
          <w:lang w:val="en-IE"/>
        </w:rPr>
      </w:pPr>
    </w:p>
    <w:p w14:paraId="7AB12383" w14:textId="77777777" w:rsidR="00250BAA" w:rsidRDefault="00250BAA">
      <w:pPr>
        <w:rPr>
          <w:rFonts w:ascii="Times New Roman" w:eastAsia="Times New Roman" w:hAnsi="Times New Roman" w:cs="Times New Roman"/>
          <w:noProof/>
          <w:color w:val="2F5496" w:themeColor="accent1" w:themeShade="BF"/>
          <w:sz w:val="26"/>
          <w:szCs w:val="26"/>
          <w:lang w:val="en-IE"/>
        </w:rPr>
      </w:pPr>
    </w:p>
    <w:p w14:paraId="1E275332" w14:textId="77777777" w:rsidR="00250BAA" w:rsidRDefault="00250BAA">
      <w:pPr>
        <w:rPr>
          <w:rFonts w:ascii="Times New Roman" w:eastAsia="Times New Roman" w:hAnsi="Times New Roman" w:cs="Times New Roman"/>
          <w:noProof/>
          <w:color w:val="2F5496" w:themeColor="accent1" w:themeShade="BF"/>
          <w:sz w:val="26"/>
          <w:szCs w:val="26"/>
          <w:lang w:val="en-IE"/>
        </w:rPr>
      </w:pPr>
    </w:p>
    <w:p w14:paraId="00E602CD" w14:textId="77777777" w:rsidR="00250BAA" w:rsidRDefault="00250BAA">
      <w:pPr>
        <w:rPr>
          <w:rFonts w:ascii="Times New Roman" w:eastAsia="Times New Roman" w:hAnsi="Times New Roman" w:cs="Times New Roman"/>
          <w:noProof/>
          <w:color w:val="2F5496" w:themeColor="accent1" w:themeShade="BF"/>
          <w:sz w:val="26"/>
          <w:szCs w:val="26"/>
          <w:lang w:val="en-IE"/>
        </w:rPr>
      </w:pPr>
    </w:p>
    <w:p w14:paraId="3E992713" w14:textId="77777777" w:rsidR="00250BAA" w:rsidRDefault="00250BAA">
      <w:pPr>
        <w:rPr>
          <w:rFonts w:ascii="Times New Roman" w:eastAsia="Times New Roman" w:hAnsi="Times New Roman" w:cs="Times New Roman"/>
          <w:noProof/>
          <w:color w:val="2F5496" w:themeColor="accent1" w:themeShade="BF"/>
          <w:sz w:val="26"/>
          <w:szCs w:val="26"/>
          <w:lang w:val="en-IE"/>
        </w:rPr>
      </w:pPr>
    </w:p>
    <w:p w14:paraId="0A468149" w14:textId="77777777" w:rsidR="00250BAA" w:rsidRDefault="00250BAA">
      <w:pPr>
        <w:rPr>
          <w:rFonts w:ascii="Times New Roman" w:eastAsia="Times New Roman" w:hAnsi="Times New Roman" w:cs="Times New Roman"/>
          <w:noProof/>
          <w:color w:val="2F5496" w:themeColor="accent1" w:themeShade="BF"/>
          <w:sz w:val="26"/>
          <w:szCs w:val="26"/>
          <w:lang w:val="en-IE"/>
        </w:rPr>
      </w:pPr>
    </w:p>
    <w:p w14:paraId="78B2119C" w14:textId="77777777" w:rsidR="00250BAA" w:rsidRDefault="00250BAA">
      <w:pPr>
        <w:rPr>
          <w:rFonts w:ascii="Times New Roman" w:eastAsia="Times New Roman" w:hAnsi="Times New Roman" w:cs="Times New Roman"/>
          <w:noProof/>
          <w:color w:val="2F5496" w:themeColor="accent1" w:themeShade="BF"/>
          <w:sz w:val="26"/>
          <w:szCs w:val="26"/>
          <w:lang w:val="en-IE"/>
        </w:rPr>
      </w:pPr>
    </w:p>
    <w:p w14:paraId="589A4703" w14:textId="77777777" w:rsidR="00250BAA" w:rsidRDefault="00250BAA">
      <w:pPr>
        <w:rPr>
          <w:rFonts w:ascii="Times New Roman" w:eastAsia="Times New Roman" w:hAnsi="Times New Roman" w:cs="Times New Roman"/>
          <w:noProof/>
          <w:color w:val="2F5496" w:themeColor="accent1" w:themeShade="BF"/>
          <w:sz w:val="26"/>
          <w:szCs w:val="26"/>
          <w:lang w:val="en-IE"/>
        </w:rPr>
      </w:pPr>
    </w:p>
    <w:p w14:paraId="46349D1F" w14:textId="77777777" w:rsidR="00250BAA" w:rsidRDefault="00250BAA">
      <w:pPr>
        <w:rPr>
          <w:rFonts w:ascii="Times New Roman" w:eastAsia="Times New Roman" w:hAnsi="Times New Roman" w:cs="Times New Roman"/>
          <w:noProof/>
          <w:color w:val="2F5496" w:themeColor="accent1" w:themeShade="BF"/>
          <w:sz w:val="26"/>
          <w:szCs w:val="26"/>
          <w:lang w:val="en-IE"/>
        </w:rPr>
      </w:pPr>
    </w:p>
    <w:p w14:paraId="16C1F454" w14:textId="77777777" w:rsidR="00250BAA" w:rsidRDefault="00250BAA">
      <w:pPr>
        <w:rPr>
          <w:rFonts w:ascii="Times New Roman" w:eastAsia="Times New Roman" w:hAnsi="Times New Roman" w:cs="Times New Roman"/>
          <w:noProof/>
          <w:color w:val="2F5496" w:themeColor="accent1" w:themeShade="BF"/>
          <w:sz w:val="26"/>
          <w:szCs w:val="26"/>
          <w:lang w:val="en-IE"/>
        </w:rPr>
      </w:pPr>
    </w:p>
    <w:p w14:paraId="1BE5F281" w14:textId="55728ED0" w:rsidR="00782CEA" w:rsidRDefault="6F6E3A88">
      <w:pPr>
        <w:pStyle w:val="Heading2"/>
        <w:spacing w:after="240" w:line="240" w:lineRule="auto"/>
        <w:jc w:val="both"/>
        <w:rPr>
          <w:rFonts w:ascii="Times New Roman" w:eastAsia="Times New Roman" w:hAnsi="Times New Roman" w:cs="Times New Roman"/>
          <w:noProof/>
          <w:lang w:val="en-IE"/>
        </w:rPr>
      </w:pPr>
      <w:bookmarkStart w:id="34" w:name="_Toc224218967"/>
      <w:bookmarkStart w:id="35" w:name="_Toc214972112"/>
      <w:r w:rsidRPr="59F485BF">
        <w:rPr>
          <w:rFonts w:ascii="Times New Roman" w:eastAsia="Times New Roman" w:hAnsi="Times New Roman" w:cs="Times New Roman"/>
          <w:noProof/>
          <w:lang w:val="en-IE"/>
        </w:rPr>
        <w:t xml:space="preserve">Annex </w:t>
      </w:r>
      <w:r w:rsidR="7848F06B" w:rsidRPr="59F485BF">
        <w:rPr>
          <w:rFonts w:ascii="Times New Roman" w:eastAsia="Times New Roman" w:hAnsi="Times New Roman" w:cs="Times New Roman"/>
          <w:noProof/>
          <w:lang w:val="en-IE"/>
        </w:rPr>
        <w:t>1</w:t>
      </w:r>
      <w:r w:rsidRPr="59F485BF">
        <w:rPr>
          <w:rFonts w:ascii="Times New Roman" w:eastAsia="Times New Roman" w:hAnsi="Times New Roman" w:cs="Times New Roman"/>
          <w:noProof/>
          <w:lang w:val="en-IE"/>
        </w:rPr>
        <w:t xml:space="preserve">: </w:t>
      </w:r>
      <w:r w:rsidR="7848F06B" w:rsidRPr="59F485BF">
        <w:rPr>
          <w:rFonts w:ascii="Times New Roman" w:eastAsia="Times New Roman" w:hAnsi="Times New Roman" w:cs="Times New Roman"/>
          <w:noProof/>
          <w:lang w:val="en-IE"/>
        </w:rPr>
        <w:t>proposed list of eligible goods</w:t>
      </w:r>
      <w:r w:rsidR="7AC3C92D" w:rsidRPr="59F485BF">
        <w:rPr>
          <w:rFonts w:ascii="Times New Roman" w:eastAsia="Times New Roman" w:hAnsi="Times New Roman" w:cs="Times New Roman"/>
          <w:noProof/>
          <w:lang w:val="en-IE"/>
        </w:rPr>
        <w:t xml:space="preserve"> and respective</w:t>
      </w:r>
      <w:r w:rsidR="47C69529" w:rsidRPr="59F485BF">
        <w:rPr>
          <w:rFonts w:ascii="Times New Roman" w:eastAsia="Times New Roman" w:hAnsi="Times New Roman" w:cs="Times New Roman"/>
          <w:noProof/>
          <w:lang w:val="en-IE"/>
        </w:rPr>
        <w:t xml:space="preserve"> </w:t>
      </w:r>
      <w:r>
        <w:rPr>
          <w:rFonts w:ascii="Times New Roman" w:eastAsia="Times New Roman" w:hAnsi="Times New Roman" w:cs="Times New Roman"/>
          <w:noProof/>
          <w:lang w:val="en-IE"/>
        </w:rPr>
        <w:t>TDFCL</w:t>
      </w:r>
      <w:r w:rsidR="5A2EF556" w:rsidRPr="59F485BF">
        <w:rPr>
          <w:rFonts w:ascii="Times New Roman" w:eastAsia="Times New Roman" w:hAnsi="Times New Roman" w:cs="Times New Roman"/>
          <w:noProof/>
          <w:lang w:val="en-IE"/>
        </w:rPr>
        <w:t xml:space="preserve"> </w:t>
      </w:r>
      <w:r w:rsidR="1B2C0FDE" w:rsidRPr="59F485BF">
        <w:rPr>
          <w:rFonts w:ascii="Times New Roman" w:eastAsia="Times New Roman" w:hAnsi="Times New Roman" w:cs="Times New Roman"/>
          <w:noProof/>
          <w:lang w:val="en-IE"/>
        </w:rPr>
        <w:t>indic</w:t>
      </w:r>
      <w:r w:rsidR="1D26A8D1" w:rsidRPr="59F485BF">
        <w:rPr>
          <w:rFonts w:ascii="Times New Roman" w:eastAsia="Times New Roman" w:hAnsi="Times New Roman" w:cs="Times New Roman"/>
          <w:noProof/>
          <w:lang w:val="en-IE"/>
        </w:rPr>
        <w:t>ator</w:t>
      </w:r>
      <w:bookmarkEnd w:id="34"/>
      <w:bookmarkEnd w:id="35"/>
    </w:p>
    <w:p w14:paraId="41690D0F" w14:textId="77777777" w:rsidR="00CD7D0C" w:rsidRPr="00331FE0" w:rsidRDefault="00CD7D0C" w:rsidP="00331FE0">
      <w:pPr>
        <w:rPr>
          <w:noProof/>
          <w:lang w:val="en-IE"/>
        </w:rPr>
      </w:pPr>
    </w:p>
    <w:p w14:paraId="759CA9D5" w14:textId="1133743D" w:rsidR="00E545A6" w:rsidRPr="007B2E2A" w:rsidRDefault="00E545A6" w:rsidP="007B2E2A">
      <w:pPr>
        <w:jc w:val="center"/>
        <w:rPr>
          <w:rFonts w:ascii="Times New Roman" w:hAnsi="Times New Roman" w:cs="Times New Roman"/>
          <w:b/>
          <w:noProof/>
          <w:lang w:val="en-IE"/>
        </w:rPr>
      </w:pPr>
      <w:r w:rsidRPr="007B2E2A">
        <w:rPr>
          <w:rFonts w:ascii="Times New Roman" w:hAnsi="Times New Roman" w:cs="Times New Roman"/>
          <w:b/>
          <w:noProof/>
          <w:lang w:val="en-IE"/>
        </w:rPr>
        <w:t>Aluminium</w:t>
      </w:r>
    </w:p>
    <w:tbl>
      <w:tblPr>
        <w:tblW w:w="10100" w:type="dxa"/>
        <w:tblInd w:w="113" w:type="dxa"/>
        <w:tblCellMar>
          <w:left w:w="0" w:type="dxa"/>
          <w:right w:w="0" w:type="dxa"/>
        </w:tblCellMar>
        <w:tblLook w:val="04A0" w:firstRow="1" w:lastRow="0" w:firstColumn="1" w:lastColumn="0" w:noHBand="0" w:noVBand="1"/>
      </w:tblPr>
      <w:tblGrid>
        <w:gridCol w:w="1060"/>
        <w:gridCol w:w="8080"/>
        <w:gridCol w:w="960"/>
      </w:tblGrid>
      <w:tr w:rsidR="00743C26" w:rsidRPr="00E545A6" w14:paraId="126C3DD7" w14:textId="77777777" w:rsidTr="00E545A6">
        <w:trPr>
          <w:trHeight w:val="570"/>
        </w:trPr>
        <w:tc>
          <w:tcPr>
            <w:tcW w:w="1060" w:type="dxa"/>
            <w:tcBorders>
              <w:top w:val="single" w:sz="4" w:space="0" w:color="auto"/>
              <w:left w:val="single" w:sz="4" w:space="0" w:color="auto"/>
              <w:bottom w:val="single" w:sz="4" w:space="0" w:color="auto"/>
              <w:right w:val="single" w:sz="4" w:space="0" w:color="auto"/>
            </w:tcBorders>
            <w:vAlign w:val="center"/>
            <w:hideMark/>
          </w:tcPr>
          <w:p w14:paraId="18B49195" w14:textId="77777777" w:rsidR="00E545A6" w:rsidRPr="00E545A6" w:rsidRDefault="00E545A6" w:rsidP="00E545A6">
            <w:pPr>
              <w:spacing w:after="0" w:line="240" w:lineRule="auto"/>
              <w:jc w:val="center"/>
              <w:rPr>
                <w:rFonts w:ascii="Times New Roman" w:eastAsia="Times New Roman" w:hAnsi="Times New Roman" w:cs="Times New Roman"/>
                <w:b/>
                <w:bCs/>
                <w:noProof/>
                <w:color w:val="000000"/>
                <w:lang w:val="en-IE" w:eastAsia="en-IE"/>
              </w:rPr>
            </w:pPr>
            <w:r w:rsidRPr="00E545A6">
              <w:rPr>
                <w:rFonts w:ascii="Times New Roman" w:eastAsia="Times New Roman" w:hAnsi="Times New Roman" w:cs="Times New Roman"/>
                <w:b/>
                <w:bCs/>
                <w:noProof/>
                <w:color w:val="000000"/>
                <w:lang w:val="en-IE" w:eastAsia="en-IE"/>
              </w:rPr>
              <w:t>CN code</w:t>
            </w:r>
          </w:p>
        </w:tc>
        <w:tc>
          <w:tcPr>
            <w:tcW w:w="8080" w:type="dxa"/>
            <w:tcBorders>
              <w:top w:val="single" w:sz="4" w:space="0" w:color="auto"/>
              <w:left w:val="nil"/>
              <w:bottom w:val="single" w:sz="4" w:space="0" w:color="auto"/>
              <w:right w:val="single" w:sz="4" w:space="0" w:color="auto"/>
            </w:tcBorders>
            <w:vAlign w:val="center"/>
            <w:hideMark/>
          </w:tcPr>
          <w:p w14:paraId="6241D293" w14:textId="77777777" w:rsidR="00E545A6" w:rsidRPr="00E545A6" w:rsidRDefault="00E545A6" w:rsidP="00E545A6">
            <w:pPr>
              <w:spacing w:after="0" w:line="240" w:lineRule="auto"/>
              <w:jc w:val="center"/>
              <w:rPr>
                <w:rFonts w:ascii="Times New Roman" w:eastAsia="Times New Roman" w:hAnsi="Times New Roman" w:cs="Times New Roman"/>
                <w:b/>
                <w:bCs/>
                <w:noProof/>
                <w:color w:val="000000"/>
                <w:lang w:val="en-IE" w:eastAsia="en-IE"/>
              </w:rPr>
            </w:pPr>
            <w:r w:rsidRPr="00E545A6">
              <w:rPr>
                <w:rFonts w:ascii="Times New Roman" w:eastAsia="Times New Roman" w:hAnsi="Times New Roman" w:cs="Times New Roman"/>
                <w:b/>
                <w:bCs/>
                <w:noProof/>
                <w:color w:val="000000"/>
                <w:lang w:val="en-IE" w:eastAsia="en-IE"/>
              </w:rPr>
              <w:t>Description</w:t>
            </w:r>
          </w:p>
        </w:tc>
        <w:tc>
          <w:tcPr>
            <w:tcW w:w="960" w:type="dxa"/>
            <w:tcBorders>
              <w:top w:val="single" w:sz="4" w:space="0" w:color="auto"/>
              <w:left w:val="nil"/>
              <w:bottom w:val="single" w:sz="4" w:space="0" w:color="auto"/>
              <w:right w:val="single" w:sz="4" w:space="0" w:color="auto"/>
            </w:tcBorders>
            <w:hideMark/>
          </w:tcPr>
          <w:p w14:paraId="12383C41" w14:textId="26DD9ABB" w:rsidR="00E545A6" w:rsidRPr="00E545A6" w:rsidRDefault="0062676F" w:rsidP="00E545A6">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noProof/>
                <w:color w:val="000000" w:themeColor="text1"/>
                <w:lang w:val="en-IE"/>
              </w:rPr>
              <w:t xml:space="preserve"> TDFCL</w:t>
            </w:r>
            <w:r w:rsidR="00020BC8">
              <w:rPr>
                <w:rFonts w:ascii="Times New Roman" w:eastAsia="Times New Roman" w:hAnsi="Times New Roman" w:cs="Times New Roman"/>
                <w:noProof/>
                <w:color w:val="000000" w:themeColor="text1"/>
                <w:lang w:val="en-IE"/>
              </w:rPr>
              <w:t xml:space="preserve"> </w:t>
            </w:r>
            <w:r w:rsidR="006D3155">
              <w:rPr>
                <w:rFonts w:ascii="Times New Roman" w:eastAsia="Times New Roman" w:hAnsi="Times New Roman" w:cs="Times New Roman"/>
                <w:noProof/>
                <w:color w:val="000000" w:themeColor="text1"/>
                <w:lang w:val="en-IE"/>
              </w:rPr>
              <w:t>Indicator</w:t>
            </w:r>
          </w:p>
        </w:tc>
      </w:tr>
      <w:tr w:rsidR="0095523F" w:rsidRPr="00E545A6" w14:paraId="342C8F9E" w14:textId="77777777" w:rsidTr="00E545A6">
        <w:trPr>
          <w:trHeight w:val="600"/>
        </w:trPr>
        <w:tc>
          <w:tcPr>
            <w:tcW w:w="1060" w:type="dxa"/>
            <w:tcBorders>
              <w:top w:val="nil"/>
              <w:left w:val="single" w:sz="4" w:space="0" w:color="auto"/>
              <w:bottom w:val="single" w:sz="4" w:space="0" w:color="auto"/>
              <w:right w:val="single" w:sz="4" w:space="0" w:color="auto"/>
            </w:tcBorders>
            <w:vAlign w:val="center"/>
            <w:hideMark/>
          </w:tcPr>
          <w:p w14:paraId="5D8D2BBC" w14:textId="77777777" w:rsidR="00E545A6" w:rsidRPr="00E545A6" w:rsidRDefault="00E545A6" w:rsidP="00E545A6">
            <w:pPr>
              <w:spacing w:after="0" w:line="240" w:lineRule="auto"/>
              <w:jc w:val="center"/>
              <w:rPr>
                <w:rFonts w:ascii="Times New Roman" w:eastAsia="Times New Roman" w:hAnsi="Times New Roman" w:cs="Times New Roman"/>
                <w:noProof/>
                <w:color w:val="000000"/>
                <w:lang w:val="en-IE" w:eastAsia="en-IE"/>
              </w:rPr>
            </w:pPr>
            <w:r w:rsidRPr="00E545A6">
              <w:rPr>
                <w:rFonts w:ascii="Times New Roman" w:eastAsia="Times New Roman" w:hAnsi="Times New Roman" w:cs="Times New Roman"/>
                <w:noProof/>
                <w:color w:val="000000"/>
                <w:lang w:val="en-IE" w:eastAsia="en-IE"/>
              </w:rPr>
              <w:t>76069100</w:t>
            </w:r>
          </w:p>
        </w:tc>
        <w:tc>
          <w:tcPr>
            <w:tcW w:w="8080" w:type="dxa"/>
            <w:tcBorders>
              <w:top w:val="nil"/>
              <w:left w:val="nil"/>
              <w:bottom w:val="single" w:sz="4" w:space="0" w:color="auto"/>
              <w:right w:val="single" w:sz="4" w:space="0" w:color="auto"/>
            </w:tcBorders>
            <w:hideMark/>
          </w:tcPr>
          <w:p w14:paraId="0BD3A1D8" w14:textId="77777777" w:rsidR="00E545A6" w:rsidRPr="00E545A6" w:rsidRDefault="00E545A6" w:rsidP="00E545A6">
            <w:pPr>
              <w:spacing w:after="0" w:line="240" w:lineRule="auto"/>
              <w:rPr>
                <w:rFonts w:ascii="Times New Roman" w:eastAsia="Times New Roman" w:hAnsi="Times New Roman" w:cs="Times New Roman"/>
                <w:noProof/>
                <w:color w:val="000000"/>
                <w:lang w:val="en-IE" w:eastAsia="en-IE"/>
              </w:rPr>
            </w:pPr>
            <w:r w:rsidRPr="00E545A6">
              <w:rPr>
                <w:rFonts w:ascii="Times New Roman" w:eastAsia="Times New Roman" w:hAnsi="Times New Roman" w:cs="Times New Roman"/>
                <w:noProof/>
                <w:color w:val="000000"/>
                <w:lang w:val="en-IE" w:eastAsia="en-IE"/>
              </w:rPr>
              <w:t>Plates, sheets and strip, of non-alloy aluminium, of a thickness of &gt; 0,2 mm (other than square or rectangular)</w:t>
            </w:r>
          </w:p>
        </w:tc>
        <w:tc>
          <w:tcPr>
            <w:tcW w:w="960" w:type="dxa"/>
            <w:tcBorders>
              <w:top w:val="nil"/>
              <w:left w:val="nil"/>
              <w:bottom w:val="single" w:sz="4" w:space="0" w:color="auto"/>
              <w:right w:val="single" w:sz="4" w:space="0" w:color="auto"/>
            </w:tcBorders>
            <w:hideMark/>
          </w:tcPr>
          <w:p w14:paraId="50F48714" w14:textId="77777777" w:rsidR="00E545A6" w:rsidRPr="00E545A6" w:rsidRDefault="00E545A6" w:rsidP="00E545A6">
            <w:pPr>
              <w:spacing w:after="0" w:line="240" w:lineRule="auto"/>
              <w:jc w:val="center"/>
              <w:rPr>
                <w:rFonts w:ascii="Times New Roman" w:eastAsia="Times New Roman" w:hAnsi="Times New Roman" w:cs="Times New Roman"/>
                <w:noProof/>
                <w:color w:val="000000"/>
                <w:lang w:val="en-IE" w:eastAsia="en-IE"/>
              </w:rPr>
            </w:pPr>
            <w:r w:rsidRPr="00E545A6">
              <w:rPr>
                <w:rFonts w:ascii="Times New Roman" w:eastAsia="Times New Roman" w:hAnsi="Times New Roman" w:cs="Times New Roman"/>
                <w:noProof/>
                <w:color w:val="000000"/>
                <w:lang w:val="en-IE" w:eastAsia="en-IE"/>
              </w:rPr>
              <w:t>0.60</w:t>
            </w:r>
          </w:p>
        </w:tc>
      </w:tr>
      <w:tr w:rsidR="00743C26" w:rsidRPr="00E545A6" w14:paraId="514891DE" w14:textId="77777777" w:rsidTr="00E545A6">
        <w:trPr>
          <w:trHeight w:val="600"/>
        </w:trPr>
        <w:tc>
          <w:tcPr>
            <w:tcW w:w="1060" w:type="dxa"/>
            <w:tcBorders>
              <w:top w:val="nil"/>
              <w:left w:val="single" w:sz="4" w:space="0" w:color="auto"/>
              <w:bottom w:val="single" w:sz="4" w:space="0" w:color="auto"/>
              <w:right w:val="single" w:sz="4" w:space="0" w:color="auto"/>
            </w:tcBorders>
            <w:vAlign w:val="center"/>
            <w:hideMark/>
          </w:tcPr>
          <w:p w14:paraId="190E045D" w14:textId="77777777" w:rsidR="00E545A6" w:rsidRPr="00E545A6" w:rsidRDefault="00E545A6" w:rsidP="00E545A6">
            <w:pPr>
              <w:spacing w:after="0" w:line="240" w:lineRule="auto"/>
              <w:jc w:val="center"/>
              <w:rPr>
                <w:rFonts w:ascii="Times New Roman" w:eastAsia="Times New Roman" w:hAnsi="Times New Roman" w:cs="Times New Roman"/>
                <w:noProof/>
                <w:color w:val="000000"/>
                <w:lang w:val="en-IE" w:eastAsia="en-IE"/>
              </w:rPr>
            </w:pPr>
            <w:r w:rsidRPr="00E545A6">
              <w:rPr>
                <w:rFonts w:ascii="Times New Roman" w:eastAsia="Times New Roman" w:hAnsi="Times New Roman" w:cs="Times New Roman"/>
                <w:noProof/>
                <w:color w:val="000000"/>
                <w:lang w:val="en-IE" w:eastAsia="en-IE"/>
              </w:rPr>
              <w:t>76072010</w:t>
            </w:r>
          </w:p>
        </w:tc>
        <w:tc>
          <w:tcPr>
            <w:tcW w:w="8080" w:type="dxa"/>
            <w:tcBorders>
              <w:top w:val="nil"/>
              <w:left w:val="nil"/>
              <w:bottom w:val="single" w:sz="4" w:space="0" w:color="auto"/>
              <w:right w:val="single" w:sz="4" w:space="0" w:color="auto"/>
            </w:tcBorders>
            <w:hideMark/>
          </w:tcPr>
          <w:p w14:paraId="49CA3109" w14:textId="043D9792" w:rsidR="00E545A6" w:rsidRPr="00E545A6" w:rsidRDefault="00E545A6" w:rsidP="00E545A6">
            <w:pPr>
              <w:spacing w:after="0" w:line="240" w:lineRule="auto"/>
              <w:rPr>
                <w:rFonts w:ascii="Times New Roman" w:eastAsia="Times New Roman" w:hAnsi="Times New Roman" w:cs="Times New Roman"/>
                <w:noProof/>
                <w:color w:val="000000"/>
                <w:lang w:val="en-IE" w:eastAsia="en-IE"/>
              </w:rPr>
            </w:pPr>
            <w:r w:rsidRPr="00E545A6">
              <w:rPr>
                <w:rFonts w:ascii="Times New Roman" w:eastAsia="Times New Roman" w:hAnsi="Times New Roman" w:cs="Times New Roman"/>
                <w:noProof/>
                <w:color w:val="000000"/>
                <w:lang w:val="en-IE" w:eastAsia="en-IE"/>
              </w:rPr>
              <w:t>Aluminium foil, backed, of a thickness (excl. any backing) of &lt; 0,021 mm (excl. stamping foils of heading 3212, and foil made up as christmas tree decorating material)</w:t>
            </w:r>
          </w:p>
        </w:tc>
        <w:tc>
          <w:tcPr>
            <w:tcW w:w="960" w:type="dxa"/>
            <w:tcBorders>
              <w:top w:val="nil"/>
              <w:left w:val="nil"/>
              <w:bottom w:val="single" w:sz="4" w:space="0" w:color="auto"/>
              <w:right w:val="single" w:sz="4" w:space="0" w:color="auto"/>
            </w:tcBorders>
            <w:hideMark/>
          </w:tcPr>
          <w:p w14:paraId="6CC80A85" w14:textId="77777777" w:rsidR="00E545A6" w:rsidRPr="00E545A6" w:rsidRDefault="00E545A6" w:rsidP="00E545A6">
            <w:pPr>
              <w:spacing w:after="0" w:line="240" w:lineRule="auto"/>
              <w:jc w:val="center"/>
              <w:rPr>
                <w:rFonts w:ascii="Times New Roman" w:eastAsia="Times New Roman" w:hAnsi="Times New Roman" w:cs="Times New Roman"/>
                <w:noProof/>
                <w:color w:val="000000"/>
                <w:lang w:val="en-IE" w:eastAsia="en-IE"/>
              </w:rPr>
            </w:pPr>
            <w:r w:rsidRPr="00E545A6">
              <w:rPr>
                <w:rFonts w:ascii="Times New Roman" w:eastAsia="Times New Roman" w:hAnsi="Times New Roman" w:cs="Times New Roman"/>
                <w:noProof/>
                <w:color w:val="000000"/>
                <w:lang w:val="en-IE" w:eastAsia="en-IE"/>
              </w:rPr>
              <w:t>0.38</w:t>
            </w:r>
          </w:p>
        </w:tc>
      </w:tr>
      <w:tr w:rsidR="0095523F" w:rsidRPr="00E545A6" w14:paraId="38C858A1" w14:textId="77777777" w:rsidTr="00E545A6">
        <w:trPr>
          <w:trHeight w:val="900"/>
        </w:trPr>
        <w:tc>
          <w:tcPr>
            <w:tcW w:w="1060" w:type="dxa"/>
            <w:tcBorders>
              <w:top w:val="nil"/>
              <w:left w:val="single" w:sz="4" w:space="0" w:color="auto"/>
              <w:bottom w:val="single" w:sz="4" w:space="0" w:color="auto"/>
              <w:right w:val="single" w:sz="4" w:space="0" w:color="auto"/>
            </w:tcBorders>
            <w:vAlign w:val="center"/>
            <w:hideMark/>
          </w:tcPr>
          <w:p w14:paraId="6810CDBC" w14:textId="77777777" w:rsidR="00E545A6" w:rsidRPr="00E545A6" w:rsidRDefault="00E545A6" w:rsidP="00E545A6">
            <w:pPr>
              <w:spacing w:after="0" w:line="240" w:lineRule="auto"/>
              <w:jc w:val="center"/>
              <w:rPr>
                <w:rFonts w:ascii="Times New Roman" w:eastAsia="Times New Roman" w:hAnsi="Times New Roman" w:cs="Times New Roman"/>
                <w:noProof/>
                <w:color w:val="000000"/>
                <w:lang w:val="en-IE" w:eastAsia="en-IE"/>
              </w:rPr>
            </w:pPr>
            <w:r w:rsidRPr="00E545A6">
              <w:rPr>
                <w:rFonts w:ascii="Times New Roman" w:eastAsia="Times New Roman" w:hAnsi="Times New Roman" w:cs="Times New Roman"/>
                <w:noProof/>
                <w:color w:val="000000"/>
                <w:lang w:val="en-IE" w:eastAsia="en-IE"/>
              </w:rPr>
              <w:t>76051900</w:t>
            </w:r>
          </w:p>
        </w:tc>
        <w:tc>
          <w:tcPr>
            <w:tcW w:w="8080" w:type="dxa"/>
            <w:tcBorders>
              <w:top w:val="nil"/>
              <w:left w:val="nil"/>
              <w:bottom w:val="single" w:sz="4" w:space="0" w:color="auto"/>
              <w:right w:val="single" w:sz="4" w:space="0" w:color="auto"/>
            </w:tcBorders>
            <w:hideMark/>
          </w:tcPr>
          <w:p w14:paraId="67B18833" w14:textId="77777777" w:rsidR="00E545A6" w:rsidRPr="00E545A6" w:rsidRDefault="00E545A6" w:rsidP="00E545A6">
            <w:pPr>
              <w:spacing w:after="0" w:line="240" w:lineRule="auto"/>
              <w:rPr>
                <w:rFonts w:ascii="Times New Roman" w:eastAsia="Times New Roman" w:hAnsi="Times New Roman" w:cs="Times New Roman"/>
                <w:noProof/>
                <w:color w:val="000000"/>
                <w:lang w:val="en-IE" w:eastAsia="en-IE"/>
              </w:rPr>
            </w:pPr>
            <w:r w:rsidRPr="00E545A6">
              <w:rPr>
                <w:rFonts w:ascii="Times New Roman" w:eastAsia="Times New Roman" w:hAnsi="Times New Roman" w:cs="Times New Roman"/>
                <w:noProof/>
                <w:color w:val="000000"/>
                <w:lang w:val="en-IE" w:eastAsia="en-IE"/>
              </w:rPr>
              <w:t>Wire of non-alloy aluminium, with a maximum cross-sectional dimension of &lt;= 7 mm (other than stranded wires, cables, ropes and other articles of heading 7614, electrically insulated wires, strings for musical instruments)</w:t>
            </w:r>
          </w:p>
        </w:tc>
        <w:tc>
          <w:tcPr>
            <w:tcW w:w="960" w:type="dxa"/>
            <w:tcBorders>
              <w:top w:val="nil"/>
              <w:left w:val="nil"/>
              <w:bottom w:val="single" w:sz="4" w:space="0" w:color="auto"/>
              <w:right w:val="single" w:sz="4" w:space="0" w:color="auto"/>
            </w:tcBorders>
            <w:hideMark/>
          </w:tcPr>
          <w:p w14:paraId="20C303BE" w14:textId="77777777" w:rsidR="00E545A6" w:rsidRPr="00E545A6" w:rsidRDefault="00E545A6" w:rsidP="00E545A6">
            <w:pPr>
              <w:spacing w:after="0" w:line="240" w:lineRule="auto"/>
              <w:jc w:val="center"/>
              <w:rPr>
                <w:rFonts w:ascii="Times New Roman" w:eastAsia="Times New Roman" w:hAnsi="Times New Roman" w:cs="Times New Roman"/>
                <w:noProof/>
                <w:color w:val="000000"/>
                <w:lang w:val="en-IE" w:eastAsia="en-IE"/>
              </w:rPr>
            </w:pPr>
            <w:r w:rsidRPr="00E545A6">
              <w:rPr>
                <w:rFonts w:ascii="Times New Roman" w:eastAsia="Times New Roman" w:hAnsi="Times New Roman" w:cs="Times New Roman"/>
                <w:noProof/>
                <w:color w:val="000000"/>
                <w:lang w:val="en-IE" w:eastAsia="en-IE"/>
              </w:rPr>
              <w:t>1.34</w:t>
            </w:r>
          </w:p>
        </w:tc>
      </w:tr>
      <w:tr w:rsidR="00743C26" w:rsidRPr="00E545A6" w14:paraId="0FB91F3F" w14:textId="77777777" w:rsidTr="00E545A6">
        <w:trPr>
          <w:trHeight w:val="900"/>
        </w:trPr>
        <w:tc>
          <w:tcPr>
            <w:tcW w:w="1060" w:type="dxa"/>
            <w:tcBorders>
              <w:top w:val="nil"/>
              <w:left w:val="single" w:sz="4" w:space="0" w:color="auto"/>
              <w:bottom w:val="single" w:sz="4" w:space="0" w:color="auto"/>
              <w:right w:val="single" w:sz="4" w:space="0" w:color="auto"/>
            </w:tcBorders>
            <w:vAlign w:val="center"/>
            <w:hideMark/>
          </w:tcPr>
          <w:p w14:paraId="04E2F7D3" w14:textId="77777777" w:rsidR="00E545A6" w:rsidRPr="00E545A6" w:rsidRDefault="00E545A6" w:rsidP="00E545A6">
            <w:pPr>
              <w:spacing w:after="0" w:line="240" w:lineRule="auto"/>
              <w:jc w:val="center"/>
              <w:rPr>
                <w:rFonts w:ascii="Times New Roman" w:eastAsia="Times New Roman" w:hAnsi="Times New Roman" w:cs="Times New Roman"/>
                <w:noProof/>
                <w:color w:val="000000"/>
                <w:lang w:val="en-IE" w:eastAsia="en-IE"/>
              </w:rPr>
            </w:pPr>
            <w:r w:rsidRPr="00E545A6">
              <w:rPr>
                <w:rFonts w:ascii="Times New Roman" w:eastAsia="Times New Roman" w:hAnsi="Times New Roman" w:cs="Times New Roman"/>
                <w:noProof/>
                <w:color w:val="000000"/>
                <w:lang w:val="en-IE" w:eastAsia="en-IE"/>
              </w:rPr>
              <w:t>76071910</w:t>
            </w:r>
          </w:p>
        </w:tc>
        <w:tc>
          <w:tcPr>
            <w:tcW w:w="8080" w:type="dxa"/>
            <w:tcBorders>
              <w:top w:val="nil"/>
              <w:left w:val="nil"/>
              <w:bottom w:val="single" w:sz="4" w:space="0" w:color="auto"/>
              <w:right w:val="single" w:sz="4" w:space="0" w:color="auto"/>
            </w:tcBorders>
            <w:hideMark/>
          </w:tcPr>
          <w:p w14:paraId="1249FB00" w14:textId="77777777" w:rsidR="00E545A6" w:rsidRPr="00E545A6" w:rsidRDefault="00E545A6" w:rsidP="00E545A6">
            <w:pPr>
              <w:spacing w:after="0" w:line="240" w:lineRule="auto"/>
              <w:rPr>
                <w:rFonts w:ascii="Times New Roman" w:eastAsia="Times New Roman" w:hAnsi="Times New Roman" w:cs="Times New Roman"/>
                <w:noProof/>
                <w:color w:val="000000"/>
                <w:lang w:val="en-IE" w:eastAsia="en-IE"/>
              </w:rPr>
            </w:pPr>
            <w:r w:rsidRPr="00E545A6">
              <w:rPr>
                <w:rFonts w:ascii="Times New Roman" w:eastAsia="Times New Roman" w:hAnsi="Times New Roman" w:cs="Times New Roman"/>
                <w:noProof/>
                <w:color w:val="000000"/>
                <w:lang w:val="en-IE" w:eastAsia="en-IE"/>
              </w:rPr>
              <w:t>Aluminium foil, not backed, rolled and further worked, of a thickness of &lt; 0,021 mm (excl. stamping foils of heading 3212, and foil made up as christmas tree decorating material)</w:t>
            </w:r>
          </w:p>
        </w:tc>
        <w:tc>
          <w:tcPr>
            <w:tcW w:w="960" w:type="dxa"/>
            <w:tcBorders>
              <w:top w:val="nil"/>
              <w:left w:val="nil"/>
              <w:bottom w:val="single" w:sz="4" w:space="0" w:color="auto"/>
              <w:right w:val="single" w:sz="4" w:space="0" w:color="auto"/>
            </w:tcBorders>
            <w:hideMark/>
          </w:tcPr>
          <w:p w14:paraId="3B2EDBF5" w14:textId="77777777" w:rsidR="00E545A6" w:rsidRPr="00E545A6" w:rsidRDefault="00E545A6" w:rsidP="00E545A6">
            <w:pPr>
              <w:spacing w:after="0" w:line="240" w:lineRule="auto"/>
              <w:jc w:val="center"/>
              <w:rPr>
                <w:rFonts w:ascii="Times New Roman" w:eastAsia="Times New Roman" w:hAnsi="Times New Roman" w:cs="Times New Roman"/>
                <w:noProof/>
                <w:color w:val="000000"/>
                <w:lang w:val="en-IE" w:eastAsia="en-IE"/>
              </w:rPr>
            </w:pPr>
            <w:r w:rsidRPr="00E545A6">
              <w:rPr>
                <w:rFonts w:ascii="Times New Roman" w:eastAsia="Times New Roman" w:hAnsi="Times New Roman" w:cs="Times New Roman"/>
                <w:noProof/>
                <w:color w:val="000000"/>
                <w:lang w:val="en-IE" w:eastAsia="en-IE"/>
              </w:rPr>
              <w:t>0.41</w:t>
            </w:r>
          </w:p>
        </w:tc>
      </w:tr>
      <w:tr w:rsidR="00743C26" w:rsidRPr="00E545A6" w14:paraId="64407B16" w14:textId="77777777" w:rsidTr="00E545A6">
        <w:trPr>
          <w:trHeight w:val="600"/>
        </w:trPr>
        <w:tc>
          <w:tcPr>
            <w:tcW w:w="1060" w:type="dxa"/>
            <w:tcBorders>
              <w:top w:val="nil"/>
              <w:left w:val="single" w:sz="4" w:space="0" w:color="auto"/>
              <w:bottom w:val="single" w:sz="4" w:space="0" w:color="auto"/>
              <w:right w:val="single" w:sz="4" w:space="0" w:color="auto"/>
            </w:tcBorders>
            <w:vAlign w:val="center"/>
            <w:hideMark/>
          </w:tcPr>
          <w:p w14:paraId="4BF0742D" w14:textId="77777777" w:rsidR="00E545A6" w:rsidRPr="00E545A6" w:rsidRDefault="00E545A6" w:rsidP="00E545A6">
            <w:pPr>
              <w:spacing w:after="0" w:line="240" w:lineRule="auto"/>
              <w:jc w:val="center"/>
              <w:rPr>
                <w:rFonts w:ascii="Times New Roman" w:eastAsia="Times New Roman" w:hAnsi="Times New Roman" w:cs="Times New Roman"/>
                <w:noProof/>
                <w:color w:val="000000"/>
                <w:lang w:val="en-IE" w:eastAsia="en-IE"/>
              </w:rPr>
            </w:pPr>
            <w:r w:rsidRPr="00E545A6">
              <w:rPr>
                <w:rFonts w:ascii="Times New Roman" w:eastAsia="Times New Roman" w:hAnsi="Times New Roman" w:cs="Times New Roman"/>
                <w:noProof/>
                <w:color w:val="000000"/>
                <w:lang w:val="en-IE" w:eastAsia="en-IE"/>
              </w:rPr>
              <w:t>76032000</w:t>
            </w:r>
          </w:p>
        </w:tc>
        <w:tc>
          <w:tcPr>
            <w:tcW w:w="8080" w:type="dxa"/>
            <w:tcBorders>
              <w:top w:val="nil"/>
              <w:left w:val="nil"/>
              <w:bottom w:val="single" w:sz="4" w:space="0" w:color="auto"/>
              <w:right w:val="single" w:sz="4" w:space="0" w:color="auto"/>
            </w:tcBorders>
            <w:hideMark/>
          </w:tcPr>
          <w:p w14:paraId="62A5B657" w14:textId="77777777" w:rsidR="00E545A6" w:rsidRPr="00E545A6" w:rsidRDefault="00E545A6" w:rsidP="00E545A6">
            <w:pPr>
              <w:spacing w:after="0" w:line="240" w:lineRule="auto"/>
              <w:rPr>
                <w:rFonts w:ascii="Times New Roman" w:eastAsia="Times New Roman" w:hAnsi="Times New Roman" w:cs="Times New Roman"/>
                <w:noProof/>
                <w:color w:val="000000"/>
                <w:lang w:val="en-IE" w:eastAsia="en-IE"/>
              </w:rPr>
            </w:pPr>
            <w:r w:rsidRPr="00E545A6">
              <w:rPr>
                <w:rFonts w:ascii="Times New Roman" w:eastAsia="Times New Roman" w:hAnsi="Times New Roman" w:cs="Times New Roman"/>
                <w:noProof/>
                <w:color w:val="000000"/>
                <w:lang w:val="en-IE" w:eastAsia="en-IE"/>
              </w:rPr>
              <w:t>Powders of aluminium, of lamellar structure, and flakes of aluminium (excl. pellets of aluminium, and spangles)</w:t>
            </w:r>
          </w:p>
        </w:tc>
        <w:tc>
          <w:tcPr>
            <w:tcW w:w="960" w:type="dxa"/>
            <w:tcBorders>
              <w:top w:val="nil"/>
              <w:left w:val="nil"/>
              <w:bottom w:val="single" w:sz="4" w:space="0" w:color="auto"/>
              <w:right w:val="single" w:sz="4" w:space="0" w:color="auto"/>
            </w:tcBorders>
            <w:hideMark/>
          </w:tcPr>
          <w:p w14:paraId="0A511933" w14:textId="77777777" w:rsidR="00E545A6" w:rsidRPr="00E545A6" w:rsidRDefault="00E545A6" w:rsidP="00E545A6">
            <w:pPr>
              <w:spacing w:after="0" w:line="240" w:lineRule="auto"/>
              <w:jc w:val="center"/>
              <w:rPr>
                <w:rFonts w:ascii="Times New Roman" w:eastAsia="Times New Roman" w:hAnsi="Times New Roman" w:cs="Times New Roman"/>
                <w:noProof/>
                <w:color w:val="000000"/>
                <w:lang w:val="en-IE" w:eastAsia="en-IE"/>
              </w:rPr>
            </w:pPr>
            <w:r w:rsidRPr="00E545A6">
              <w:rPr>
                <w:rFonts w:ascii="Times New Roman" w:eastAsia="Times New Roman" w:hAnsi="Times New Roman" w:cs="Times New Roman"/>
                <w:noProof/>
                <w:color w:val="000000"/>
                <w:lang w:val="en-IE" w:eastAsia="en-IE"/>
              </w:rPr>
              <w:t>0.46</w:t>
            </w:r>
          </w:p>
        </w:tc>
      </w:tr>
      <w:tr w:rsidR="00743C26" w:rsidRPr="00E545A6" w14:paraId="7B86DCE2" w14:textId="77777777" w:rsidTr="00E545A6">
        <w:trPr>
          <w:trHeight w:val="900"/>
        </w:trPr>
        <w:tc>
          <w:tcPr>
            <w:tcW w:w="1060" w:type="dxa"/>
            <w:tcBorders>
              <w:top w:val="nil"/>
              <w:left w:val="single" w:sz="4" w:space="0" w:color="auto"/>
              <w:bottom w:val="single" w:sz="4" w:space="0" w:color="auto"/>
              <w:right w:val="single" w:sz="4" w:space="0" w:color="auto"/>
            </w:tcBorders>
            <w:vAlign w:val="center"/>
            <w:hideMark/>
          </w:tcPr>
          <w:p w14:paraId="18BEF8B9" w14:textId="77777777" w:rsidR="00E545A6" w:rsidRPr="00E545A6" w:rsidRDefault="00E545A6" w:rsidP="00E545A6">
            <w:pPr>
              <w:spacing w:after="0" w:line="240" w:lineRule="auto"/>
              <w:jc w:val="center"/>
              <w:rPr>
                <w:rFonts w:ascii="Times New Roman" w:eastAsia="Times New Roman" w:hAnsi="Times New Roman" w:cs="Times New Roman"/>
                <w:noProof/>
                <w:color w:val="000000"/>
                <w:lang w:val="en-IE" w:eastAsia="en-IE"/>
              </w:rPr>
            </w:pPr>
            <w:r w:rsidRPr="00E545A6">
              <w:rPr>
                <w:rFonts w:ascii="Times New Roman" w:eastAsia="Times New Roman" w:hAnsi="Times New Roman" w:cs="Times New Roman"/>
                <w:noProof/>
                <w:color w:val="000000"/>
                <w:lang w:val="en-IE" w:eastAsia="en-IE"/>
              </w:rPr>
              <w:t>76161000</w:t>
            </w:r>
          </w:p>
        </w:tc>
        <w:tc>
          <w:tcPr>
            <w:tcW w:w="8080" w:type="dxa"/>
            <w:tcBorders>
              <w:top w:val="nil"/>
              <w:left w:val="nil"/>
              <w:bottom w:val="single" w:sz="4" w:space="0" w:color="auto"/>
              <w:right w:val="single" w:sz="4" w:space="0" w:color="auto"/>
            </w:tcBorders>
            <w:hideMark/>
          </w:tcPr>
          <w:p w14:paraId="7158A31A" w14:textId="77777777" w:rsidR="00E545A6" w:rsidRPr="00E545A6" w:rsidRDefault="00E545A6" w:rsidP="00E545A6">
            <w:pPr>
              <w:spacing w:after="0" w:line="240" w:lineRule="auto"/>
              <w:rPr>
                <w:rFonts w:ascii="Times New Roman" w:eastAsia="Times New Roman" w:hAnsi="Times New Roman" w:cs="Times New Roman"/>
                <w:noProof/>
                <w:color w:val="000000"/>
                <w:lang w:val="en-IE" w:eastAsia="en-IE"/>
              </w:rPr>
            </w:pPr>
            <w:r w:rsidRPr="00E545A6">
              <w:rPr>
                <w:rFonts w:ascii="Times New Roman" w:eastAsia="Times New Roman" w:hAnsi="Times New Roman" w:cs="Times New Roman"/>
                <w:noProof/>
                <w:color w:val="000000"/>
                <w:lang w:val="en-IE" w:eastAsia="en-IE"/>
              </w:rPr>
              <w:t>Nails, tacks, staples, screws, bolts, nuts, screw hooks, rivets, cotters, cotter pins, washers and similar articles, of aluminium (excl. staples in strips, plugs, bungs and the like, threaded)</w:t>
            </w:r>
          </w:p>
        </w:tc>
        <w:tc>
          <w:tcPr>
            <w:tcW w:w="960" w:type="dxa"/>
            <w:tcBorders>
              <w:top w:val="nil"/>
              <w:left w:val="nil"/>
              <w:bottom w:val="single" w:sz="4" w:space="0" w:color="auto"/>
              <w:right w:val="single" w:sz="4" w:space="0" w:color="auto"/>
            </w:tcBorders>
            <w:hideMark/>
          </w:tcPr>
          <w:p w14:paraId="70760ABD" w14:textId="77777777" w:rsidR="00E545A6" w:rsidRPr="00E545A6" w:rsidRDefault="00E545A6" w:rsidP="00E545A6">
            <w:pPr>
              <w:spacing w:after="0" w:line="240" w:lineRule="auto"/>
              <w:jc w:val="center"/>
              <w:rPr>
                <w:rFonts w:ascii="Times New Roman" w:eastAsia="Times New Roman" w:hAnsi="Times New Roman" w:cs="Times New Roman"/>
                <w:noProof/>
                <w:color w:val="000000"/>
                <w:lang w:val="en-IE" w:eastAsia="en-IE"/>
              </w:rPr>
            </w:pPr>
            <w:r w:rsidRPr="00E545A6">
              <w:rPr>
                <w:rFonts w:ascii="Times New Roman" w:eastAsia="Times New Roman" w:hAnsi="Times New Roman" w:cs="Times New Roman"/>
                <w:noProof/>
                <w:color w:val="000000"/>
                <w:lang w:val="en-IE" w:eastAsia="en-IE"/>
              </w:rPr>
              <w:t>0.45</w:t>
            </w:r>
          </w:p>
        </w:tc>
      </w:tr>
      <w:tr w:rsidR="00743C26" w:rsidRPr="00E545A6" w14:paraId="30AF8603" w14:textId="77777777" w:rsidTr="00E545A6">
        <w:trPr>
          <w:trHeight w:val="300"/>
        </w:trPr>
        <w:tc>
          <w:tcPr>
            <w:tcW w:w="1060" w:type="dxa"/>
            <w:tcBorders>
              <w:top w:val="nil"/>
              <w:left w:val="single" w:sz="4" w:space="0" w:color="auto"/>
              <w:bottom w:val="single" w:sz="4" w:space="0" w:color="auto"/>
              <w:right w:val="single" w:sz="4" w:space="0" w:color="auto"/>
            </w:tcBorders>
            <w:vAlign w:val="center"/>
            <w:hideMark/>
          </w:tcPr>
          <w:p w14:paraId="7FD4BD6A" w14:textId="77777777" w:rsidR="00E545A6" w:rsidRPr="00E545A6" w:rsidRDefault="00E545A6" w:rsidP="00E545A6">
            <w:pPr>
              <w:spacing w:after="0" w:line="240" w:lineRule="auto"/>
              <w:jc w:val="center"/>
              <w:rPr>
                <w:rFonts w:ascii="Times New Roman" w:eastAsia="Times New Roman" w:hAnsi="Times New Roman" w:cs="Times New Roman"/>
                <w:noProof/>
                <w:color w:val="000000"/>
                <w:lang w:val="en-IE" w:eastAsia="en-IE"/>
              </w:rPr>
            </w:pPr>
            <w:r w:rsidRPr="00E545A6">
              <w:rPr>
                <w:rFonts w:ascii="Times New Roman" w:eastAsia="Times New Roman" w:hAnsi="Times New Roman" w:cs="Times New Roman"/>
                <w:noProof/>
                <w:color w:val="000000"/>
                <w:lang w:val="en-IE" w:eastAsia="en-IE"/>
              </w:rPr>
              <w:t>76061130</w:t>
            </w:r>
          </w:p>
        </w:tc>
        <w:tc>
          <w:tcPr>
            <w:tcW w:w="8080" w:type="dxa"/>
            <w:tcBorders>
              <w:top w:val="nil"/>
              <w:left w:val="nil"/>
              <w:bottom w:val="single" w:sz="4" w:space="0" w:color="auto"/>
              <w:right w:val="single" w:sz="4" w:space="0" w:color="auto"/>
            </w:tcBorders>
            <w:hideMark/>
          </w:tcPr>
          <w:p w14:paraId="1F737A54" w14:textId="77777777" w:rsidR="00E545A6" w:rsidRPr="00E545A6" w:rsidRDefault="00E545A6" w:rsidP="00E545A6">
            <w:pPr>
              <w:spacing w:after="0" w:line="240" w:lineRule="auto"/>
              <w:rPr>
                <w:rFonts w:ascii="Times New Roman" w:eastAsia="Times New Roman" w:hAnsi="Times New Roman" w:cs="Times New Roman"/>
                <w:noProof/>
                <w:color w:val="000000"/>
                <w:lang w:val="en-IE" w:eastAsia="en-IE"/>
              </w:rPr>
            </w:pPr>
            <w:r w:rsidRPr="00E545A6">
              <w:rPr>
                <w:rFonts w:ascii="Times New Roman" w:eastAsia="Times New Roman" w:hAnsi="Times New Roman" w:cs="Times New Roman"/>
                <w:noProof/>
                <w:color w:val="000000"/>
                <w:lang w:val="en-IE" w:eastAsia="en-IE"/>
              </w:rPr>
              <w:t>Aluminium Composite Panel, of non-alloy aluminium, of a thickness of &gt; 0,2 mm</w:t>
            </w:r>
          </w:p>
        </w:tc>
        <w:tc>
          <w:tcPr>
            <w:tcW w:w="960" w:type="dxa"/>
            <w:tcBorders>
              <w:top w:val="nil"/>
              <w:left w:val="nil"/>
              <w:bottom w:val="single" w:sz="4" w:space="0" w:color="auto"/>
              <w:right w:val="single" w:sz="4" w:space="0" w:color="auto"/>
            </w:tcBorders>
            <w:hideMark/>
          </w:tcPr>
          <w:p w14:paraId="2C28B4DE" w14:textId="77777777" w:rsidR="00E545A6" w:rsidRPr="00E545A6" w:rsidRDefault="00E545A6" w:rsidP="00E545A6">
            <w:pPr>
              <w:spacing w:after="0" w:line="240" w:lineRule="auto"/>
              <w:jc w:val="center"/>
              <w:rPr>
                <w:rFonts w:ascii="Times New Roman" w:eastAsia="Times New Roman" w:hAnsi="Times New Roman" w:cs="Times New Roman"/>
                <w:noProof/>
                <w:color w:val="000000"/>
                <w:lang w:val="en-IE" w:eastAsia="en-IE"/>
              </w:rPr>
            </w:pPr>
            <w:r w:rsidRPr="00E545A6">
              <w:rPr>
                <w:rFonts w:ascii="Times New Roman" w:eastAsia="Times New Roman" w:hAnsi="Times New Roman" w:cs="Times New Roman"/>
                <w:noProof/>
                <w:color w:val="000000"/>
                <w:lang w:val="en-IE" w:eastAsia="en-IE"/>
              </w:rPr>
              <w:t>0.34</w:t>
            </w:r>
          </w:p>
        </w:tc>
      </w:tr>
    </w:tbl>
    <w:p w14:paraId="5B1BDF8B" w14:textId="77777777" w:rsidR="00E545A6" w:rsidRPr="007B2E2A" w:rsidRDefault="00E545A6" w:rsidP="007B2E2A">
      <w:pPr>
        <w:rPr>
          <w:noProof/>
          <w:lang w:val="en-IE"/>
        </w:rPr>
      </w:pPr>
    </w:p>
    <w:p w14:paraId="0BD9EB48" w14:textId="61C3CA07" w:rsidR="00782CEA" w:rsidRPr="007B2E2A" w:rsidRDefault="00EC6570" w:rsidP="007B2E2A">
      <w:pPr>
        <w:spacing w:line="240" w:lineRule="auto"/>
        <w:jc w:val="center"/>
        <w:rPr>
          <w:rFonts w:ascii="Times New Roman" w:eastAsia="Times New Roman" w:hAnsi="Times New Roman" w:cs="Times New Roman"/>
          <w:b/>
          <w:noProof/>
          <w:sz w:val="24"/>
          <w:szCs w:val="24"/>
        </w:rPr>
      </w:pPr>
      <w:r w:rsidRPr="007B2E2A">
        <w:rPr>
          <w:rFonts w:ascii="Times New Roman" w:eastAsia="Times New Roman" w:hAnsi="Times New Roman" w:cs="Times New Roman"/>
          <w:b/>
          <w:noProof/>
          <w:sz w:val="24"/>
          <w:szCs w:val="24"/>
        </w:rPr>
        <w:t>Fertilisers</w:t>
      </w:r>
    </w:p>
    <w:tbl>
      <w:tblPr>
        <w:tblW w:w="10100" w:type="dxa"/>
        <w:tblInd w:w="113" w:type="dxa"/>
        <w:tblCellMar>
          <w:left w:w="0" w:type="dxa"/>
          <w:right w:w="0" w:type="dxa"/>
        </w:tblCellMar>
        <w:tblLook w:val="04A0" w:firstRow="1" w:lastRow="0" w:firstColumn="1" w:lastColumn="0" w:noHBand="0" w:noVBand="1"/>
      </w:tblPr>
      <w:tblGrid>
        <w:gridCol w:w="1060"/>
        <w:gridCol w:w="8080"/>
        <w:gridCol w:w="960"/>
      </w:tblGrid>
      <w:tr w:rsidR="0095523F" w:rsidRPr="00853581" w14:paraId="2C61FAC4" w14:textId="77777777" w:rsidTr="00853581">
        <w:trPr>
          <w:trHeight w:val="570"/>
        </w:trPr>
        <w:tc>
          <w:tcPr>
            <w:tcW w:w="1060" w:type="dxa"/>
            <w:tcBorders>
              <w:top w:val="single" w:sz="4" w:space="0" w:color="auto"/>
              <w:left w:val="single" w:sz="4" w:space="0" w:color="auto"/>
              <w:bottom w:val="single" w:sz="4" w:space="0" w:color="auto"/>
              <w:right w:val="single" w:sz="4" w:space="0" w:color="auto"/>
            </w:tcBorders>
            <w:vAlign w:val="center"/>
            <w:hideMark/>
          </w:tcPr>
          <w:p w14:paraId="2B4F4F5E" w14:textId="77777777" w:rsidR="00853581" w:rsidRPr="00853581" w:rsidRDefault="00853581" w:rsidP="00853581">
            <w:pPr>
              <w:spacing w:after="0" w:line="240" w:lineRule="auto"/>
              <w:jc w:val="center"/>
              <w:rPr>
                <w:rFonts w:ascii="Times New Roman" w:eastAsia="Times New Roman" w:hAnsi="Times New Roman" w:cs="Times New Roman"/>
                <w:b/>
                <w:bCs/>
                <w:noProof/>
                <w:color w:val="000000"/>
                <w:lang w:val="en-IE" w:eastAsia="en-IE"/>
              </w:rPr>
            </w:pPr>
            <w:r w:rsidRPr="00853581">
              <w:rPr>
                <w:rFonts w:ascii="Times New Roman" w:eastAsia="Times New Roman" w:hAnsi="Times New Roman" w:cs="Times New Roman"/>
                <w:b/>
                <w:bCs/>
                <w:noProof/>
                <w:color w:val="000000"/>
                <w:lang w:val="en-IE" w:eastAsia="en-IE"/>
              </w:rPr>
              <w:t>CN code</w:t>
            </w:r>
          </w:p>
        </w:tc>
        <w:tc>
          <w:tcPr>
            <w:tcW w:w="8080" w:type="dxa"/>
            <w:tcBorders>
              <w:top w:val="single" w:sz="4" w:space="0" w:color="auto"/>
              <w:left w:val="nil"/>
              <w:bottom w:val="single" w:sz="4" w:space="0" w:color="auto"/>
              <w:right w:val="single" w:sz="4" w:space="0" w:color="auto"/>
            </w:tcBorders>
            <w:vAlign w:val="center"/>
            <w:hideMark/>
          </w:tcPr>
          <w:p w14:paraId="1CA49A99" w14:textId="77777777" w:rsidR="00853581" w:rsidRPr="00853581" w:rsidRDefault="00853581" w:rsidP="00853581">
            <w:pPr>
              <w:spacing w:after="0" w:line="240" w:lineRule="auto"/>
              <w:jc w:val="center"/>
              <w:rPr>
                <w:rFonts w:ascii="Times New Roman" w:eastAsia="Times New Roman" w:hAnsi="Times New Roman" w:cs="Times New Roman"/>
                <w:b/>
                <w:bCs/>
                <w:noProof/>
                <w:color w:val="000000"/>
                <w:lang w:val="en-IE" w:eastAsia="en-IE"/>
              </w:rPr>
            </w:pPr>
            <w:r w:rsidRPr="00853581">
              <w:rPr>
                <w:rFonts w:ascii="Times New Roman" w:eastAsia="Times New Roman" w:hAnsi="Times New Roman" w:cs="Times New Roman"/>
                <w:b/>
                <w:bCs/>
                <w:noProof/>
                <w:color w:val="000000"/>
                <w:lang w:val="en-IE" w:eastAsia="en-IE"/>
              </w:rPr>
              <w:t>Description</w:t>
            </w:r>
          </w:p>
        </w:tc>
        <w:tc>
          <w:tcPr>
            <w:tcW w:w="960" w:type="dxa"/>
            <w:tcBorders>
              <w:top w:val="single" w:sz="4" w:space="0" w:color="auto"/>
              <w:left w:val="nil"/>
              <w:bottom w:val="single" w:sz="4" w:space="0" w:color="auto"/>
              <w:right w:val="single" w:sz="4" w:space="0" w:color="auto"/>
            </w:tcBorders>
            <w:hideMark/>
          </w:tcPr>
          <w:p w14:paraId="71CBA410" w14:textId="1E85B142" w:rsidR="00853581" w:rsidRPr="00853581" w:rsidRDefault="0062676F" w:rsidP="00853581">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noProof/>
                <w:color w:val="000000" w:themeColor="text1"/>
                <w:lang w:val="en-IE"/>
              </w:rPr>
              <w:t xml:space="preserve"> TDFCL</w:t>
            </w:r>
            <w:r w:rsidR="00020BC8">
              <w:rPr>
                <w:rFonts w:ascii="Times New Roman" w:eastAsia="Times New Roman" w:hAnsi="Times New Roman" w:cs="Times New Roman"/>
                <w:noProof/>
                <w:color w:val="000000" w:themeColor="text1"/>
                <w:lang w:val="en-IE"/>
              </w:rPr>
              <w:t xml:space="preserve"> </w:t>
            </w:r>
            <w:r w:rsidR="00331FE0">
              <w:rPr>
                <w:rFonts w:ascii="Times New Roman" w:eastAsia="Times New Roman" w:hAnsi="Times New Roman" w:cs="Times New Roman"/>
                <w:noProof/>
                <w:color w:val="000000" w:themeColor="text1"/>
                <w:lang w:val="en-IE"/>
              </w:rPr>
              <w:t>Indicator</w:t>
            </w:r>
          </w:p>
        </w:tc>
      </w:tr>
      <w:tr w:rsidR="00E435B4" w:rsidRPr="00853581" w14:paraId="719B376B" w14:textId="77777777" w:rsidTr="00853581">
        <w:trPr>
          <w:trHeight w:val="300"/>
        </w:trPr>
        <w:tc>
          <w:tcPr>
            <w:tcW w:w="1060" w:type="dxa"/>
            <w:tcBorders>
              <w:top w:val="nil"/>
              <w:left w:val="single" w:sz="4" w:space="0" w:color="auto"/>
              <w:bottom w:val="single" w:sz="4" w:space="0" w:color="auto"/>
              <w:right w:val="single" w:sz="4" w:space="0" w:color="auto"/>
            </w:tcBorders>
            <w:vAlign w:val="center"/>
            <w:hideMark/>
          </w:tcPr>
          <w:p w14:paraId="45DDFBE8" w14:textId="77777777" w:rsidR="00853581" w:rsidRPr="00853581" w:rsidRDefault="00853581" w:rsidP="00853581">
            <w:pPr>
              <w:spacing w:after="0" w:line="240" w:lineRule="auto"/>
              <w:jc w:val="center"/>
              <w:rPr>
                <w:rFonts w:ascii="Times New Roman" w:eastAsia="Times New Roman" w:hAnsi="Times New Roman" w:cs="Times New Roman"/>
                <w:noProof/>
                <w:color w:val="000000"/>
                <w:lang w:val="en-IE" w:eastAsia="en-IE"/>
              </w:rPr>
            </w:pPr>
            <w:r w:rsidRPr="00853581">
              <w:rPr>
                <w:rFonts w:ascii="Times New Roman" w:eastAsia="Times New Roman" w:hAnsi="Times New Roman" w:cs="Times New Roman"/>
                <w:noProof/>
                <w:color w:val="000000"/>
                <w:lang w:val="en-IE" w:eastAsia="en-IE"/>
              </w:rPr>
              <w:t>28342100</w:t>
            </w:r>
          </w:p>
        </w:tc>
        <w:tc>
          <w:tcPr>
            <w:tcW w:w="8080" w:type="dxa"/>
            <w:tcBorders>
              <w:top w:val="nil"/>
              <w:left w:val="nil"/>
              <w:bottom w:val="single" w:sz="4" w:space="0" w:color="auto"/>
              <w:right w:val="single" w:sz="4" w:space="0" w:color="auto"/>
            </w:tcBorders>
            <w:hideMark/>
          </w:tcPr>
          <w:p w14:paraId="7015D0CA" w14:textId="77777777" w:rsidR="00853581" w:rsidRPr="00853581" w:rsidRDefault="00853581" w:rsidP="00853581">
            <w:pPr>
              <w:spacing w:after="0" w:line="240" w:lineRule="auto"/>
              <w:rPr>
                <w:rFonts w:ascii="Times New Roman" w:eastAsia="Times New Roman" w:hAnsi="Times New Roman" w:cs="Times New Roman"/>
                <w:noProof/>
                <w:color w:val="000000"/>
                <w:lang w:val="en-IE" w:eastAsia="en-IE"/>
              </w:rPr>
            </w:pPr>
            <w:r w:rsidRPr="00853581">
              <w:rPr>
                <w:rFonts w:ascii="Times New Roman" w:eastAsia="Times New Roman" w:hAnsi="Times New Roman" w:cs="Times New Roman"/>
                <w:noProof/>
                <w:color w:val="000000"/>
                <w:lang w:val="en-IE" w:eastAsia="en-IE"/>
              </w:rPr>
              <w:t>Nitrate of potassium</w:t>
            </w:r>
          </w:p>
        </w:tc>
        <w:tc>
          <w:tcPr>
            <w:tcW w:w="960" w:type="dxa"/>
            <w:tcBorders>
              <w:top w:val="nil"/>
              <w:left w:val="nil"/>
              <w:bottom w:val="single" w:sz="4" w:space="0" w:color="auto"/>
              <w:right w:val="single" w:sz="4" w:space="0" w:color="auto"/>
            </w:tcBorders>
            <w:hideMark/>
          </w:tcPr>
          <w:p w14:paraId="0FF7C99A" w14:textId="77777777" w:rsidR="00853581" w:rsidRPr="00853581" w:rsidRDefault="00853581" w:rsidP="00853581">
            <w:pPr>
              <w:spacing w:after="0" w:line="240" w:lineRule="auto"/>
              <w:jc w:val="center"/>
              <w:rPr>
                <w:rFonts w:ascii="Times New Roman" w:eastAsia="Times New Roman" w:hAnsi="Times New Roman" w:cs="Times New Roman"/>
                <w:noProof/>
                <w:color w:val="000000"/>
                <w:lang w:val="en-IE" w:eastAsia="en-IE"/>
              </w:rPr>
            </w:pPr>
            <w:r w:rsidRPr="00853581">
              <w:rPr>
                <w:rFonts w:ascii="Times New Roman" w:eastAsia="Times New Roman" w:hAnsi="Times New Roman" w:cs="Times New Roman"/>
                <w:noProof/>
                <w:color w:val="000000"/>
                <w:lang w:val="en-IE" w:eastAsia="en-IE"/>
              </w:rPr>
              <w:t>1.16</w:t>
            </w:r>
          </w:p>
        </w:tc>
      </w:tr>
      <w:tr w:rsidR="00E435B4" w:rsidRPr="00853581" w14:paraId="2EEEB1F7" w14:textId="77777777" w:rsidTr="00853581">
        <w:trPr>
          <w:trHeight w:val="600"/>
        </w:trPr>
        <w:tc>
          <w:tcPr>
            <w:tcW w:w="1060" w:type="dxa"/>
            <w:tcBorders>
              <w:top w:val="nil"/>
              <w:left w:val="single" w:sz="4" w:space="0" w:color="auto"/>
              <w:bottom w:val="single" w:sz="4" w:space="0" w:color="auto"/>
              <w:right w:val="single" w:sz="4" w:space="0" w:color="auto"/>
            </w:tcBorders>
            <w:vAlign w:val="center"/>
            <w:hideMark/>
          </w:tcPr>
          <w:p w14:paraId="3505AF03" w14:textId="77777777" w:rsidR="00853581" w:rsidRPr="00853581" w:rsidRDefault="00853581" w:rsidP="00853581">
            <w:pPr>
              <w:spacing w:after="0" w:line="240" w:lineRule="auto"/>
              <w:jc w:val="center"/>
              <w:rPr>
                <w:rFonts w:ascii="Times New Roman" w:eastAsia="Times New Roman" w:hAnsi="Times New Roman" w:cs="Times New Roman"/>
                <w:noProof/>
                <w:color w:val="000000"/>
                <w:lang w:val="en-IE" w:eastAsia="en-IE"/>
              </w:rPr>
            </w:pPr>
            <w:r w:rsidRPr="00853581">
              <w:rPr>
                <w:rFonts w:ascii="Times New Roman" w:eastAsia="Times New Roman" w:hAnsi="Times New Roman" w:cs="Times New Roman"/>
                <w:noProof/>
                <w:color w:val="000000"/>
                <w:lang w:val="en-IE" w:eastAsia="en-IE"/>
              </w:rPr>
              <w:t>31026000</w:t>
            </w:r>
          </w:p>
        </w:tc>
        <w:tc>
          <w:tcPr>
            <w:tcW w:w="8080" w:type="dxa"/>
            <w:tcBorders>
              <w:top w:val="nil"/>
              <w:left w:val="nil"/>
              <w:bottom w:val="single" w:sz="4" w:space="0" w:color="auto"/>
              <w:right w:val="single" w:sz="4" w:space="0" w:color="auto"/>
            </w:tcBorders>
            <w:hideMark/>
          </w:tcPr>
          <w:p w14:paraId="3617E0FB" w14:textId="77777777" w:rsidR="00853581" w:rsidRPr="00853581" w:rsidRDefault="00853581" w:rsidP="00853581">
            <w:pPr>
              <w:spacing w:after="0" w:line="240" w:lineRule="auto"/>
              <w:rPr>
                <w:rFonts w:ascii="Times New Roman" w:eastAsia="Times New Roman" w:hAnsi="Times New Roman" w:cs="Times New Roman"/>
                <w:noProof/>
                <w:color w:val="000000"/>
                <w:lang w:val="en-IE" w:eastAsia="en-IE"/>
              </w:rPr>
            </w:pPr>
            <w:r w:rsidRPr="00853581">
              <w:rPr>
                <w:rFonts w:ascii="Times New Roman" w:eastAsia="Times New Roman" w:hAnsi="Times New Roman" w:cs="Times New Roman"/>
                <w:noProof/>
                <w:color w:val="000000"/>
                <w:lang w:val="en-IE" w:eastAsia="en-IE"/>
              </w:rPr>
              <w:t>Double salts and mixtures of calcium nitrate and ammonium nitrate (excl. those in tablets or similar forms, or in packages with a gross weight of &lt;= 10 kg)</w:t>
            </w:r>
          </w:p>
        </w:tc>
        <w:tc>
          <w:tcPr>
            <w:tcW w:w="960" w:type="dxa"/>
            <w:tcBorders>
              <w:top w:val="nil"/>
              <w:left w:val="nil"/>
              <w:bottom w:val="single" w:sz="4" w:space="0" w:color="auto"/>
              <w:right w:val="single" w:sz="4" w:space="0" w:color="auto"/>
            </w:tcBorders>
            <w:hideMark/>
          </w:tcPr>
          <w:p w14:paraId="4D1EBD52" w14:textId="77777777" w:rsidR="00853581" w:rsidRPr="00853581" w:rsidRDefault="00853581" w:rsidP="00853581">
            <w:pPr>
              <w:spacing w:after="0" w:line="240" w:lineRule="auto"/>
              <w:jc w:val="center"/>
              <w:rPr>
                <w:rFonts w:ascii="Times New Roman" w:eastAsia="Times New Roman" w:hAnsi="Times New Roman" w:cs="Times New Roman"/>
                <w:noProof/>
                <w:color w:val="000000"/>
                <w:lang w:val="en-IE" w:eastAsia="en-IE"/>
              </w:rPr>
            </w:pPr>
            <w:r w:rsidRPr="00853581">
              <w:rPr>
                <w:rFonts w:ascii="Times New Roman" w:eastAsia="Times New Roman" w:hAnsi="Times New Roman" w:cs="Times New Roman"/>
                <w:noProof/>
                <w:color w:val="000000"/>
                <w:lang w:val="en-IE" w:eastAsia="en-IE"/>
              </w:rPr>
              <w:t>0.75</w:t>
            </w:r>
          </w:p>
        </w:tc>
      </w:tr>
      <w:tr w:rsidR="00743C26" w:rsidRPr="00853581" w14:paraId="13E4A886" w14:textId="77777777" w:rsidTr="00853581">
        <w:trPr>
          <w:trHeight w:val="600"/>
        </w:trPr>
        <w:tc>
          <w:tcPr>
            <w:tcW w:w="1060" w:type="dxa"/>
            <w:tcBorders>
              <w:top w:val="nil"/>
              <w:left w:val="single" w:sz="4" w:space="0" w:color="auto"/>
              <w:bottom w:val="single" w:sz="4" w:space="0" w:color="auto"/>
              <w:right w:val="single" w:sz="4" w:space="0" w:color="auto"/>
            </w:tcBorders>
            <w:vAlign w:val="center"/>
            <w:hideMark/>
          </w:tcPr>
          <w:p w14:paraId="72ECEE16" w14:textId="77777777" w:rsidR="00853581" w:rsidRPr="00853581" w:rsidRDefault="00853581" w:rsidP="00853581">
            <w:pPr>
              <w:spacing w:after="0" w:line="240" w:lineRule="auto"/>
              <w:jc w:val="center"/>
              <w:rPr>
                <w:rFonts w:ascii="Times New Roman" w:eastAsia="Times New Roman" w:hAnsi="Times New Roman" w:cs="Times New Roman"/>
                <w:noProof/>
                <w:color w:val="000000"/>
                <w:lang w:val="en-IE" w:eastAsia="en-IE"/>
              </w:rPr>
            </w:pPr>
            <w:r w:rsidRPr="00853581">
              <w:rPr>
                <w:rFonts w:ascii="Times New Roman" w:eastAsia="Times New Roman" w:hAnsi="Times New Roman" w:cs="Times New Roman"/>
                <w:noProof/>
                <w:color w:val="000000"/>
                <w:lang w:val="en-IE" w:eastAsia="en-IE"/>
              </w:rPr>
              <w:t>31051000</w:t>
            </w:r>
          </w:p>
        </w:tc>
        <w:tc>
          <w:tcPr>
            <w:tcW w:w="8080" w:type="dxa"/>
            <w:tcBorders>
              <w:top w:val="nil"/>
              <w:left w:val="nil"/>
              <w:bottom w:val="single" w:sz="4" w:space="0" w:color="auto"/>
              <w:right w:val="single" w:sz="4" w:space="0" w:color="auto"/>
            </w:tcBorders>
            <w:hideMark/>
          </w:tcPr>
          <w:p w14:paraId="0676A92C" w14:textId="77777777" w:rsidR="00853581" w:rsidRPr="00853581" w:rsidRDefault="00853581" w:rsidP="00853581">
            <w:pPr>
              <w:spacing w:after="0" w:line="240" w:lineRule="auto"/>
              <w:rPr>
                <w:rFonts w:ascii="Times New Roman" w:eastAsia="Times New Roman" w:hAnsi="Times New Roman" w:cs="Times New Roman"/>
                <w:noProof/>
                <w:color w:val="000000"/>
                <w:lang w:val="en-IE" w:eastAsia="en-IE"/>
              </w:rPr>
            </w:pPr>
            <w:r w:rsidRPr="00853581">
              <w:rPr>
                <w:rFonts w:ascii="Times New Roman" w:eastAsia="Times New Roman" w:hAnsi="Times New Roman" w:cs="Times New Roman"/>
                <w:noProof/>
                <w:color w:val="000000"/>
                <w:lang w:val="en-IE" w:eastAsia="en-IE"/>
              </w:rPr>
              <w:t>Mineral or chemical fertilisers of animal or vegetable origin, in tablets or similar forms, or in packages with a gross weight of &lt;= 10 kg</w:t>
            </w:r>
          </w:p>
        </w:tc>
        <w:tc>
          <w:tcPr>
            <w:tcW w:w="960" w:type="dxa"/>
            <w:tcBorders>
              <w:top w:val="nil"/>
              <w:left w:val="nil"/>
              <w:bottom w:val="single" w:sz="4" w:space="0" w:color="auto"/>
              <w:right w:val="single" w:sz="4" w:space="0" w:color="auto"/>
            </w:tcBorders>
            <w:hideMark/>
          </w:tcPr>
          <w:p w14:paraId="1144B51C" w14:textId="77777777" w:rsidR="00853581" w:rsidRPr="00853581" w:rsidRDefault="00853581" w:rsidP="00853581">
            <w:pPr>
              <w:spacing w:after="0" w:line="240" w:lineRule="auto"/>
              <w:jc w:val="center"/>
              <w:rPr>
                <w:rFonts w:ascii="Times New Roman" w:eastAsia="Times New Roman" w:hAnsi="Times New Roman" w:cs="Times New Roman"/>
                <w:noProof/>
                <w:color w:val="000000"/>
                <w:lang w:val="en-IE" w:eastAsia="en-IE"/>
              </w:rPr>
            </w:pPr>
            <w:r w:rsidRPr="00853581">
              <w:rPr>
                <w:rFonts w:ascii="Times New Roman" w:eastAsia="Times New Roman" w:hAnsi="Times New Roman" w:cs="Times New Roman"/>
                <w:noProof/>
                <w:color w:val="000000"/>
                <w:lang w:val="en-IE" w:eastAsia="en-IE"/>
              </w:rPr>
              <w:t>0.35</w:t>
            </w:r>
          </w:p>
        </w:tc>
      </w:tr>
      <w:tr w:rsidR="00743C26" w:rsidRPr="00853581" w14:paraId="3A822E72" w14:textId="77777777" w:rsidTr="00853581">
        <w:trPr>
          <w:trHeight w:val="900"/>
        </w:trPr>
        <w:tc>
          <w:tcPr>
            <w:tcW w:w="1060" w:type="dxa"/>
            <w:tcBorders>
              <w:top w:val="nil"/>
              <w:left w:val="single" w:sz="4" w:space="0" w:color="auto"/>
              <w:bottom w:val="single" w:sz="4" w:space="0" w:color="auto"/>
              <w:right w:val="single" w:sz="4" w:space="0" w:color="auto"/>
            </w:tcBorders>
            <w:vAlign w:val="center"/>
            <w:hideMark/>
          </w:tcPr>
          <w:p w14:paraId="4621DCBE" w14:textId="77777777" w:rsidR="00853581" w:rsidRPr="00853581" w:rsidRDefault="00853581" w:rsidP="00853581">
            <w:pPr>
              <w:spacing w:after="0" w:line="240" w:lineRule="auto"/>
              <w:jc w:val="center"/>
              <w:rPr>
                <w:rFonts w:ascii="Times New Roman" w:eastAsia="Times New Roman" w:hAnsi="Times New Roman" w:cs="Times New Roman"/>
                <w:noProof/>
                <w:color w:val="000000"/>
                <w:lang w:val="en-IE" w:eastAsia="en-IE"/>
              </w:rPr>
            </w:pPr>
            <w:r w:rsidRPr="00853581">
              <w:rPr>
                <w:rFonts w:ascii="Times New Roman" w:eastAsia="Times New Roman" w:hAnsi="Times New Roman" w:cs="Times New Roman"/>
                <w:noProof/>
                <w:color w:val="000000"/>
                <w:lang w:val="en-IE" w:eastAsia="en-IE"/>
              </w:rPr>
              <w:t>31052010</w:t>
            </w:r>
          </w:p>
        </w:tc>
        <w:tc>
          <w:tcPr>
            <w:tcW w:w="8080" w:type="dxa"/>
            <w:tcBorders>
              <w:top w:val="nil"/>
              <w:left w:val="nil"/>
              <w:bottom w:val="single" w:sz="4" w:space="0" w:color="auto"/>
              <w:right w:val="single" w:sz="4" w:space="0" w:color="auto"/>
            </w:tcBorders>
            <w:hideMark/>
          </w:tcPr>
          <w:p w14:paraId="1C1E4A7B" w14:textId="77777777" w:rsidR="00853581" w:rsidRPr="00853581" w:rsidRDefault="00853581" w:rsidP="00853581">
            <w:pPr>
              <w:spacing w:after="0" w:line="240" w:lineRule="auto"/>
              <w:rPr>
                <w:rFonts w:ascii="Times New Roman" w:eastAsia="Times New Roman" w:hAnsi="Times New Roman" w:cs="Times New Roman"/>
                <w:noProof/>
                <w:color w:val="000000"/>
                <w:lang w:val="en-IE" w:eastAsia="en-IE"/>
              </w:rPr>
            </w:pPr>
            <w:r w:rsidRPr="00853581">
              <w:rPr>
                <w:rFonts w:ascii="Times New Roman" w:eastAsia="Times New Roman" w:hAnsi="Times New Roman" w:cs="Times New Roman"/>
                <w:noProof/>
                <w:color w:val="000000"/>
                <w:lang w:val="en-IE" w:eastAsia="en-IE"/>
              </w:rPr>
              <w:t>Mineral or chemical fertilisers containing phosphorus and potassium, with a nitrogen content &gt; 10 % by weight on the dry anhydrous product (excl. those in tablets or similar forms, or in packages with a gross weight of &lt;= 10 kg)</w:t>
            </w:r>
          </w:p>
        </w:tc>
        <w:tc>
          <w:tcPr>
            <w:tcW w:w="960" w:type="dxa"/>
            <w:tcBorders>
              <w:top w:val="nil"/>
              <w:left w:val="nil"/>
              <w:bottom w:val="single" w:sz="4" w:space="0" w:color="auto"/>
              <w:right w:val="single" w:sz="4" w:space="0" w:color="auto"/>
            </w:tcBorders>
            <w:hideMark/>
          </w:tcPr>
          <w:p w14:paraId="511C01E9" w14:textId="77777777" w:rsidR="00853581" w:rsidRPr="00853581" w:rsidRDefault="00853581" w:rsidP="00853581">
            <w:pPr>
              <w:spacing w:after="0" w:line="240" w:lineRule="auto"/>
              <w:jc w:val="center"/>
              <w:rPr>
                <w:rFonts w:ascii="Times New Roman" w:eastAsia="Times New Roman" w:hAnsi="Times New Roman" w:cs="Times New Roman"/>
                <w:noProof/>
                <w:color w:val="000000"/>
                <w:lang w:val="en-IE" w:eastAsia="en-IE"/>
              </w:rPr>
            </w:pPr>
            <w:r w:rsidRPr="00853581">
              <w:rPr>
                <w:rFonts w:ascii="Times New Roman" w:eastAsia="Times New Roman" w:hAnsi="Times New Roman" w:cs="Times New Roman"/>
                <w:noProof/>
                <w:color w:val="000000"/>
                <w:lang w:val="en-IE" w:eastAsia="en-IE"/>
              </w:rPr>
              <w:t>0.32</w:t>
            </w:r>
          </w:p>
        </w:tc>
      </w:tr>
      <w:tr w:rsidR="00E435B4" w:rsidRPr="00853581" w14:paraId="4168F574" w14:textId="77777777" w:rsidTr="00853581">
        <w:trPr>
          <w:trHeight w:val="900"/>
        </w:trPr>
        <w:tc>
          <w:tcPr>
            <w:tcW w:w="1060" w:type="dxa"/>
            <w:tcBorders>
              <w:top w:val="nil"/>
              <w:left w:val="single" w:sz="4" w:space="0" w:color="auto"/>
              <w:bottom w:val="single" w:sz="4" w:space="0" w:color="auto"/>
              <w:right w:val="single" w:sz="4" w:space="0" w:color="auto"/>
            </w:tcBorders>
            <w:vAlign w:val="center"/>
            <w:hideMark/>
          </w:tcPr>
          <w:p w14:paraId="2F3CAD59" w14:textId="77777777" w:rsidR="00853581" w:rsidRPr="00853581" w:rsidRDefault="00853581" w:rsidP="00853581">
            <w:pPr>
              <w:spacing w:after="0" w:line="240" w:lineRule="auto"/>
              <w:jc w:val="center"/>
              <w:rPr>
                <w:rFonts w:ascii="Times New Roman" w:eastAsia="Times New Roman" w:hAnsi="Times New Roman" w:cs="Times New Roman"/>
                <w:noProof/>
                <w:color w:val="000000"/>
                <w:lang w:val="en-IE" w:eastAsia="en-IE"/>
              </w:rPr>
            </w:pPr>
            <w:r w:rsidRPr="00853581">
              <w:rPr>
                <w:rFonts w:ascii="Times New Roman" w:eastAsia="Times New Roman" w:hAnsi="Times New Roman" w:cs="Times New Roman"/>
                <w:noProof/>
                <w:color w:val="000000"/>
                <w:lang w:val="en-IE" w:eastAsia="en-IE"/>
              </w:rPr>
              <w:t>31054000</w:t>
            </w:r>
          </w:p>
        </w:tc>
        <w:tc>
          <w:tcPr>
            <w:tcW w:w="8080" w:type="dxa"/>
            <w:tcBorders>
              <w:top w:val="nil"/>
              <w:left w:val="nil"/>
              <w:bottom w:val="single" w:sz="4" w:space="0" w:color="auto"/>
              <w:right w:val="single" w:sz="4" w:space="0" w:color="auto"/>
            </w:tcBorders>
            <w:hideMark/>
          </w:tcPr>
          <w:p w14:paraId="45D2F251" w14:textId="77777777" w:rsidR="00853581" w:rsidRPr="00853581" w:rsidRDefault="00853581" w:rsidP="00853581">
            <w:pPr>
              <w:spacing w:after="0" w:line="240" w:lineRule="auto"/>
              <w:rPr>
                <w:rFonts w:ascii="Times New Roman" w:eastAsia="Times New Roman" w:hAnsi="Times New Roman" w:cs="Times New Roman"/>
                <w:noProof/>
                <w:color w:val="000000"/>
                <w:lang w:val="en-IE" w:eastAsia="en-IE"/>
              </w:rPr>
            </w:pPr>
            <w:r w:rsidRPr="00853581">
              <w:rPr>
                <w:rFonts w:ascii="Times New Roman" w:eastAsia="Times New Roman" w:hAnsi="Times New Roman" w:cs="Times New Roman"/>
                <w:noProof/>
                <w:color w:val="000000"/>
                <w:lang w:val="en-IE" w:eastAsia="en-IE"/>
              </w:rPr>
              <w:t>Ammonium dihydrogenorthophosphate "monoammonium phosphate", whether or not mixed with diammonium hydrogenorthophosphate "diammonium phosphate" (excl. that in tablets or similar forms, or in packages with a gross weight of &lt;= 10 kg)</w:t>
            </w:r>
          </w:p>
        </w:tc>
        <w:tc>
          <w:tcPr>
            <w:tcW w:w="960" w:type="dxa"/>
            <w:tcBorders>
              <w:top w:val="nil"/>
              <w:left w:val="nil"/>
              <w:bottom w:val="single" w:sz="4" w:space="0" w:color="auto"/>
              <w:right w:val="single" w:sz="4" w:space="0" w:color="auto"/>
            </w:tcBorders>
            <w:hideMark/>
          </w:tcPr>
          <w:p w14:paraId="48A6F61A" w14:textId="77777777" w:rsidR="00853581" w:rsidRPr="00853581" w:rsidRDefault="00853581" w:rsidP="00853581">
            <w:pPr>
              <w:spacing w:after="0" w:line="240" w:lineRule="auto"/>
              <w:jc w:val="center"/>
              <w:rPr>
                <w:rFonts w:ascii="Times New Roman" w:eastAsia="Times New Roman" w:hAnsi="Times New Roman" w:cs="Times New Roman"/>
                <w:noProof/>
                <w:color w:val="000000"/>
                <w:lang w:val="en-IE" w:eastAsia="en-IE"/>
              </w:rPr>
            </w:pPr>
            <w:r w:rsidRPr="00853581">
              <w:rPr>
                <w:rFonts w:ascii="Times New Roman" w:eastAsia="Times New Roman" w:hAnsi="Times New Roman" w:cs="Times New Roman"/>
                <w:noProof/>
                <w:color w:val="000000"/>
                <w:lang w:val="en-IE" w:eastAsia="en-IE"/>
              </w:rPr>
              <w:t>1.10</w:t>
            </w:r>
          </w:p>
        </w:tc>
      </w:tr>
      <w:tr w:rsidR="00743C26" w:rsidRPr="00853581" w14:paraId="2505BE70" w14:textId="77777777" w:rsidTr="00853581">
        <w:trPr>
          <w:trHeight w:val="1200"/>
        </w:trPr>
        <w:tc>
          <w:tcPr>
            <w:tcW w:w="1060" w:type="dxa"/>
            <w:tcBorders>
              <w:top w:val="nil"/>
              <w:left w:val="single" w:sz="4" w:space="0" w:color="auto"/>
              <w:bottom w:val="single" w:sz="4" w:space="0" w:color="auto"/>
              <w:right w:val="single" w:sz="4" w:space="0" w:color="auto"/>
            </w:tcBorders>
            <w:vAlign w:val="center"/>
            <w:hideMark/>
          </w:tcPr>
          <w:p w14:paraId="43CF3B9E" w14:textId="77777777" w:rsidR="00853581" w:rsidRPr="00853581" w:rsidRDefault="00853581" w:rsidP="00853581">
            <w:pPr>
              <w:spacing w:after="0" w:line="240" w:lineRule="auto"/>
              <w:jc w:val="center"/>
              <w:rPr>
                <w:rFonts w:ascii="Times New Roman" w:eastAsia="Times New Roman" w:hAnsi="Times New Roman" w:cs="Times New Roman"/>
                <w:noProof/>
                <w:color w:val="000000"/>
                <w:lang w:val="en-IE" w:eastAsia="en-IE"/>
              </w:rPr>
            </w:pPr>
            <w:r w:rsidRPr="00853581">
              <w:rPr>
                <w:rFonts w:ascii="Times New Roman" w:eastAsia="Times New Roman" w:hAnsi="Times New Roman" w:cs="Times New Roman"/>
                <w:noProof/>
                <w:color w:val="000000"/>
                <w:lang w:val="en-IE" w:eastAsia="en-IE"/>
              </w:rPr>
              <w:t>31055100</w:t>
            </w:r>
          </w:p>
        </w:tc>
        <w:tc>
          <w:tcPr>
            <w:tcW w:w="8080" w:type="dxa"/>
            <w:tcBorders>
              <w:top w:val="nil"/>
              <w:left w:val="nil"/>
              <w:bottom w:val="single" w:sz="4" w:space="0" w:color="auto"/>
              <w:right w:val="single" w:sz="4" w:space="0" w:color="auto"/>
            </w:tcBorders>
            <w:hideMark/>
          </w:tcPr>
          <w:p w14:paraId="002EE815" w14:textId="77777777" w:rsidR="00853581" w:rsidRPr="00853581" w:rsidRDefault="00853581" w:rsidP="00853581">
            <w:pPr>
              <w:spacing w:after="0" w:line="240" w:lineRule="auto"/>
              <w:rPr>
                <w:rFonts w:ascii="Times New Roman" w:eastAsia="Times New Roman" w:hAnsi="Times New Roman" w:cs="Times New Roman"/>
                <w:noProof/>
                <w:color w:val="000000"/>
                <w:lang w:val="en-IE" w:eastAsia="en-IE"/>
              </w:rPr>
            </w:pPr>
            <w:r w:rsidRPr="00853581">
              <w:rPr>
                <w:rFonts w:ascii="Times New Roman" w:eastAsia="Times New Roman" w:hAnsi="Times New Roman" w:cs="Times New Roman"/>
                <w:noProof/>
                <w:color w:val="000000"/>
                <w:lang w:val="en-IE" w:eastAsia="en-IE"/>
              </w:rPr>
              <w:t>Mineral or chemical fertilisers containing nitrates and phosphates (excl. ammonium dihydrogenorthophosphate "Monoammonium phosphate", diammonium hydrogenorthophosphate "Diammonium phosphate", and those in tablets or similar forms, or in packages with a gross weight of &lt;= 10 kg)</w:t>
            </w:r>
          </w:p>
        </w:tc>
        <w:tc>
          <w:tcPr>
            <w:tcW w:w="960" w:type="dxa"/>
            <w:tcBorders>
              <w:top w:val="nil"/>
              <w:left w:val="nil"/>
              <w:bottom w:val="single" w:sz="4" w:space="0" w:color="auto"/>
              <w:right w:val="single" w:sz="4" w:space="0" w:color="auto"/>
            </w:tcBorders>
            <w:hideMark/>
          </w:tcPr>
          <w:p w14:paraId="228A0C47" w14:textId="77777777" w:rsidR="00853581" w:rsidRPr="00853581" w:rsidRDefault="00853581" w:rsidP="00853581">
            <w:pPr>
              <w:spacing w:after="0" w:line="240" w:lineRule="auto"/>
              <w:jc w:val="center"/>
              <w:rPr>
                <w:rFonts w:ascii="Times New Roman" w:eastAsia="Times New Roman" w:hAnsi="Times New Roman" w:cs="Times New Roman"/>
                <w:noProof/>
                <w:color w:val="000000"/>
                <w:lang w:val="en-IE" w:eastAsia="en-IE"/>
              </w:rPr>
            </w:pPr>
            <w:r w:rsidRPr="00853581">
              <w:rPr>
                <w:rFonts w:ascii="Times New Roman" w:eastAsia="Times New Roman" w:hAnsi="Times New Roman" w:cs="Times New Roman"/>
                <w:noProof/>
                <w:color w:val="000000"/>
                <w:lang w:val="en-IE" w:eastAsia="en-IE"/>
              </w:rPr>
              <w:t>0.42</w:t>
            </w:r>
          </w:p>
        </w:tc>
      </w:tr>
      <w:tr w:rsidR="00743C26" w:rsidRPr="00853581" w14:paraId="7D15EDF0" w14:textId="77777777" w:rsidTr="00853581">
        <w:trPr>
          <w:trHeight w:val="1200"/>
        </w:trPr>
        <w:tc>
          <w:tcPr>
            <w:tcW w:w="1060" w:type="dxa"/>
            <w:tcBorders>
              <w:top w:val="nil"/>
              <w:left w:val="single" w:sz="4" w:space="0" w:color="auto"/>
              <w:bottom w:val="single" w:sz="4" w:space="0" w:color="auto"/>
              <w:right w:val="single" w:sz="4" w:space="0" w:color="auto"/>
            </w:tcBorders>
            <w:vAlign w:val="center"/>
            <w:hideMark/>
          </w:tcPr>
          <w:p w14:paraId="68678ADA" w14:textId="77777777" w:rsidR="00853581" w:rsidRPr="00853581" w:rsidRDefault="00853581" w:rsidP="00853581">
            <w:pPr>
              <w:spacing w:after="0" w:line="240" w:lineRule="auto"/>
              <w:jc w:val="center"/>
              <w:rPr>
                <w:rFonts w:ascii="Times New Roman" w:eastAsia="Times New Roman" w:hAnsi="Times New Roman" w:cs="Times New Roman"/>
                <w:noProof/>
                <w:color w:val="000000"/>
                <w:lang w:val="en-IE" w:eastAsia="en-IE"/>
              </w:rPr>
            </w:pPr>
            <w:r w:rsidRPr="00853581">
              <w:rPr>
                <w:rFonts w:ascii="Times New Roman" w:eastAsia="Times New Roman" w:hAnsi="Times New Roman" w:cs="Times New Roman"/>
                <w:noProof/>
                <w:color w:val="000000"/>
                <w:lang w:val="en-IE" w:eastAsia="en-IE"/>
              </w:rPr>
              <w:t>31055900</w:t>
            </w:r>
          </w:p>
        </w:tc>
        <w:tc>
          <w:tcPr>
            <w:tcW w:w="8080" w:type="dxa"/>
            <w:tcBorders>
              <w:top w:val="nil"/>
              <w:left w:val="nil"/>
              <w:bottom w:val="single" w:sz="4" w:space="0" w:color="auto"/>
              <w:right w:val="single" w:sz="4" w:space="0" w:color="auto"/>
            </w:tcBorders>
            <w:hideMark/>
          </w:tcPr>
          <w:p w14:paraId="6746C7ED" w14:textId="77777777" w:rsidR="00853581" w:rsidRPr="00853581" w:rsidRDefault="00853581" w:rsidP="00853581">
            <w:pPr>
              <w:spacing w:after="0" w:line="240" w:lineRule="auto"/>
              <w:rPr>
                <w:rFonts w:ascii="Times New Roman" w:eastAsia="Times New Roman" w:hAnsi="Times New Roman" w:cs="Times New Roman"/>
                <w:noProof/>
                <w:color w:val="000000"/>
                <w:lang w:val="en-IE" w:eastAsia="en-IE"/>
              </w:rPr>
            </w:pPr>
            <w:r w:rsidRPr="00853581">
              <w:rPr>
                <w:rFonts w:ascii="Times New Roman" w:eastAsia="Times New Roman" w:hAnsi="Times New Roman" w:cs="Times New Roman"/>
                <w:noProof/>
                <w:color w:val="000000"/>
                <w:lang w:val="en-IE" w:eastAsia="en-IE"/>
              </w:rPr>
              <w:t>Mineral or chemical fertilisers containing the two fertilising elements nitrogen (excl. nitrate) and phosphorus but not nitrates (excl. ammonium dihydrogenorthophosphate "monoammonium phosphate", diammonium hydrogenorthophosphate "diammonium phosphate" in tablets or similar forms, or in packages with a gross weight of &lt;= 10 kg)</w:t>
            </w:r>
          </w:p>
        </w:tc>
        <w:tc>
          <w:tcPr>
            <w:tcW w:w="960" w:type="dxa"/>
            <w:tcBorders>
              <w:top w:val="nil"/>
              <w:left w:val="nil"/>
              <w:bottom w:val="single" w:sz="4" w:space="0" w:color="auto"/>
              <w:right w:val="single" w:sz="4" w:space="0" w:color="auto"/>
            </w:tcBorders>
            <w:hideMark/>
          </w:tcPr>
          <w:p w14:paraId="2170BD2B" w14:textId="77777777" w:rsidR="00853581" w:rsidRPr="00853581" w:rsidRDefault="00853581" w:rsidP="00853581">
            <w:pPr>
              <w:spacing w:after="0" w:line="240" w:lineRule="auto"/>
              <w:jc w:val="center"/>
              <w:rPr>
                <w:rFonts w:ascii="Times New Roman" w:eastAsia="Times New Roman" w:hAnsi="Times New Roman" w:cs="Times New Roman"/>
                <w:noProof/>
                <w:color w:val="000000"/>
                <w:lang w:val="en-IE" w:eastAsia="en-IE"/>
              </w:rPr>
            </w:pPr>
            <w:r w:rsidRPr="00853581">
              <w:rPr>
                <w:rFonts w:ascii="Times New Roman" w:eastAsia="Times New Roman" w:hAnsi="Times New Roman" w:cs="Times New Roman"/>
                <w:noProof/>
                <w:color w:val="000000"/>
                <w:lang w:val="en-IE" w:eastAsia="en-IE"/>
              </w:rPr>
              <w:t>0.43</w:t>
            </w:r>
          </w:p>
        </w:tc>
      </w:tr>
      <w:tr w:rsidR="00743C26" w:rsidRPr="00853581" w14:paraId="1BF995F9" w14:textId="77777777" w:rsidTr="00853581">
        <w:trPr>
          <w:trHeight w:val="1500"/>
        </w:trPr>
        <w:tc>
          <w:tcPr>
            <w:tcW w:w="1060" w:type="dxa"/>
            <w:tcBorders>
              <w:top w:val="nil"/>
              <w:left w:val="single" w:sz="4" w:space="0" w:color="auto"/>
              <w:bottom w:val="single" w:sz="4" w:space="0" w:color="auto"/>
              <w:right w:val="single" w:sz="4" w:space="0" w:color="auto"/>
            </w:tcBorders>
            <w:vAlign w:val="center"/>
            <w:hideMark/>
          </w:tcPr>
          <w:p w14:paraId="4D560FCA" w14:textId="77777777" w:rsidR="00853581" w:rsidRPr="00853581" w:rsidRDefault="00853581" w:rsidP="00853581">
            <w:pPr>
              <w:spacing w:after="0" w:line="240" w:lineRule="auto"/>
              <w:jc w:val="center"/>
              <w:rPr>
                <w:rFonts w:ascii="Times New Roman" w:eastAsia="Times New Roman" w:hAnsi="Times New Roman" w:cs="Times New Roman"/>
                <w:noProof/>
                <w:color w:val="000000"/>
                <w:lang w:val="en-IE" w:eastAsia="en-IE"/>
              </w:rPr>
            </w:pPr>
            <w:r w:rsidRPr="00853581">
              <w:rPr>
                <w:rFonts w:ascii="Times New Roman" w:eastAsia="Times New Roman" w:hAnsi="Times New Roman" w:cs="Times New Roman"/>
                <w:noProof/>
                <w:color w:val="000000"/>
                <w:lang w:val="en-IE" w:eastAsia="en-IE"/>
              </w:rPr>
              <w:t>31059080</w:t>
            </w:r>
          </w:p>
        </w:tc>
        <w:tc>
          <w:tcPr>
            <w:tcW w:w="8080" w:type="dxa"/>
            <w:tcBorders>
              <w:top w:val="nil"/>
              <w:left w:val="nil"/>
              <w:bottom w:val="single" w:sz="4" w:space="0" w:color="auto"/>
              <w:right w:val="single" w:sz="4" w:space="0" w:color="auto"/>
            </w:tcBorders>
            <w:hideMark/>
          </w:tcPr>
          <w:p w14:paraId="79A89F1B" w14:textId="77777777" w:rsidR="00853581" w:rsidRPr="00853581" w:rsidRDefault="00853581" w:rsidP="00853581">
            <w:pPr>
              <w:spacing w:after="0" w:line="240" w:lineRule="auto"/>
              <w:rPr>
                <w:rFonts w:ascii="Times New Roman" w:eastAsia="Times New Roman" w:hAnsi="Times New Roman" w:cs="Times New Roman"/>
                <w:noProof/>
                <w:color w:val="000000"/>
                <w:lang w:val="en-IE" w:eastAsia="en-IE"/>
              </w:rPr>
            </w:pPr>
            <w:r w:rsidRPr="00853581">
              <w:rPr>
                <w:rFonts w:ascii="Times New Roman" w:eastAsia="Times New Roman" w:hAnsi="Times New Roman" w:cs="Times New Roman"/>
                <w:noProof/>
                <w:color w:val="000000"/>
                <w:lang w:val="en-IE" w:eastAsia="en-IE"/>
              </w:rPr>
              <w:t>Mineral or chemical fertilisers containing the two fertilising elements nitrogen and potassium, or one main fertilising element, incl. mixtures of animal or vegetable fertilisers with chemical or mineral fertilisers, not containing nitrogen or with a nitrogen content, by weight, of &lt;= 10% (excl. in tablets or similar forms or in packages of a gross weight of &lt;= 10 kg)</w:t>
            </w:r>
          </w:p>
        </w:tc>
        <w:tc>
          <w:tcPr>
            <w:tcW w:w="960" w:type="dxa"/>
            <w:tcBorders>
              <w:top w:val="nil"/>
              <w:left w:val="nil"/>
              <w:bottom w:val="single" w:sz="4" w:space="0" w:color="auto"/>
              <w:right w:val="single" w:sz="4" w:space="0" w:color="auto"/>
            </w:tcBorders>
            <w:hideMark/>
          </w:tcPr>
          <w:p w14:paraId="54ECD022" w14:textId="77777777" w:rsidR="00853581" w:rsidRPr="00853581" w:rsidRDefault="00853581" w:rsidP="00853581">
            <w:pPr>
              <w:spacing w:after="0" w:line="240" w:lineRule="auto"/>
              <w:jc w:val="center"/>
              <w:rPr>
                <w:rFonts w:ascii="Times New Roman" w:eastAsia="Times New Roman" w:hAnsi="Times New Roman" w:cs="Times New Roman"/>
                <w:noProof/>
                <w:color w:val="000000"/>
                <w:lang w:val="en-IE" w:eastAsia="en-IE"/>
              </w:rPr>
            </w:pPr>
            <w:r w:rsidRPr="00853581">
              <w:rPr>
                <w:rFonts w:ascii="Times New Roman" w:eastAsia="Times New Roman" w:hAnsi="Times New Roman" w:cs="Times New Roman"/>
                <w:noProof/>
                <w:color w:val="000000"/>
                <w:lang w:val="en-IE" w:eastAsia="en-IE"/>
              </w:rPr>
              <w:t>0.44</w:t>
            </w:r>
          </w:p>
        </w:tc>
      </w:tr>
    </w:tbl>
    <w:p w14:paraId="26A2D0C6" w14:textId="77777777" w:rsidR="00EC6570" w:rsidRDefault="00EC6570">
      <w:pPr>
        <w:spacing w:line="240" w:lineRule="auto"/>
        <w:jc w:val="both"/>
        <w:rPr>
          <w:rFonts w:ascii="Times New Roman" w:eastAsia="Times New Roman" w:hAnsi="Times New Roman" w:cs="Times New Roman"/>
          <w:noProof/>
          <w:sz w:val="24"/>
          <w:szCs w:val="24"/>
        </w:rPr>
      </w:pPr>
    </w:p>
    <w:p w14:paraId="405C0FB6" w14:textId="26E7B8AE" w:rsidR="00E26481" w:rsidRPr="007B2E2A" w:rsidRDefault="00E26481" w:rsidP="007B2E2A">
      <w:pPr>
        <w:spacing w:line="240" w:lineRule="auto"/>
        <w:jc w:val="center"/>
        <w:rPr>
          <w:rFonts w:ascii="Times New Roman" w:eastAsia="Times New Roman" w:hAnsi="Times New Roman" w:cs="Times New Roman"/>
          <w:b/>
          <w:noProof/>
          <w:sz w:val="24"/>
          <w:szCs w:val="24"/>
        </w:rPr>
      </w:pPr>
      <w:r w:rsidRPr="007B2E2A">
        <w:rPr>
          <w:rFonts w:ascii="Times New Roman" w:eastAsia="Times New Roman" w:hAnsi="Times New Roman" w:cs="Times New Roman"/>
          <w:b/>
          <w:noProof/>
          <w:sz w:val="24"/>
          <w:szCs w:val="24"/>
        </w:rPr>
        <w:t>Iron and steel</w:t>
      </w:r>
    </w:p>
    <w:tbl>
      <w:tblPr>
        <w:tblW w:w="10100" w:type="dxa"/>
        <w:tblInd w:w="113" w:type="dxa"/>
        <w:tblCellMar>
          <w:left w:w="0" w:type="dxa"/>
          <w:right w:w="0" w:type="dxa"/>
        </w:tblCellMar>
        <w:tblLook w:val="04A0" w:firstRow="1" w:lastRow="0" w:firstColumn="1" w:lastColumn="0" w:noHBand="0" w:noVBand="1"/>
      </w:tblPr>
      <w:tblGrid>
        <w:gridCol w:w="1057"/>
        <w:gridCol w:w="7983"/>
        <w:gridCol w:w="1060"/>
      </w:tblGrid>
      <w:tr w:rsidR="00743C26" w:rsidRPr="005C680C" w14:paraId="34D8B0C0" w14:textId="77777777" w:rsidTr="00A46DBB">
        <w:trPr>
          <w:trHeight w:val="600"/>
        </w:trPr>
        <w:tc>
          <w:tcPr>
            <w:tcW w:w="1057" w:type="dxa"/>
            <w:tcBorders>
              <w:top w:val="single" w:sz="4" w:space="0" w:color="auto"/>
              <w:left w:val="single" w:sz="4" w:space="0" w:color="auto"/>
              <w:bottom w:val="single" w:sz="4" w:space="0" w:color="auto"/>
              <w:right w:val="single" w:sz="4" w:space="0" w:color="auto"/>
            </w:tcBorders>
            <w:vAlign w:val="center"/>
            <w:hideMark/>
          </w:tcPr>
          <w:p w14:paraId="6F9875F7" w14:textId="77777777" w:rsidR="005C680C" w:rsidRPr="005C680C" w:rsidRDefault="005C680C" w:rsidP="005C680C">
            <w:pPr>
              <w:spacing w:after="0" w:line="240" w:lineRule="auto"/>
              <w:jc w:val="center"/>
              <w:rPr>
                <w:rFonts w:ascii="Times New Roman" w:eastAsia="Times New Roman" w:hAnsi="Times New Roman" w:cs="Times New Roman"/>
                <w:b/>
                <w:bCs/>
                <w:noProof/>
                <w:color w:val="000000"/>
                <w:lang w:val="en-IE" w:eastAsia="en-IE"/>
              </w:rPr>
            </w:pPr>
            <w:r w:rsidRPr="005C680C">
              <w:rPr>
                <w:rFonts w:ascii="Times New Roman" w:eastAsia="Times New Roman" w:hAnsi="Times New Roman" w:cs="Times New Roman"/>
                <w:b/>
                <w:bCs/>
                <w:noProof/>
                <w:color w:val="000000"/>
                <w:lang w:val="en-IE" w:eastAsia="en-IE"/>
              </w:rPr>
              <w:t>CN code</w:t>
            </w:r>
          </w:p>
        </w:tc>
        <w:tc>
          <w:tcPr>
            <w:tcW w:w="7983" w:type="dxa"/>
            <w:tcBorders>
              <w:top w:val="single" w:sz="4" w:space="0" w:color="auto"/>
              <w:left w:val="nil"/>
              <w:bottom w:val="single" w:sz="4" w:space="0" w:color="auto"/>
              <w:right w:val="single" w:sz="4" w:space="0" w:color="auto"/>
            </w:tcBorders>
            <w:vAlign w:val="center"/>
            <w:hideMark/>
          </w:tcPr>
          <w:p w14:paraId="46F27D11" w14:textId="77777777" w:rsidR="005C680C" w:rsidRPr="005C680C" w:rsidRDefault="005C680C" w:rsidP="005C680C">
            <w:pPr>
              <w:spacing w:after="0" w:line="240" w:lineRule="auto"/>
              <w:jc w:val="center"/>
              <w:rPr>
                <w:rFonts w:ascii="Times New Roman" w:eastAsia="Times New Roman" w:hAnsi="Times New Roman" w:cs="Times New Roman"/>
                <w:b/>
                <w:bCs/>
                <w:noProof/>
                <w:color w:val="000000"/>
                <w:lang w:val="en-IE" w:eastAsia="en-IE"/>
              </w:rPr>
            </w:pPr>
            <w:r w:rsidRPr="005C680C">
              <w:rPr>
                <w:rFonts w:ascii="Times New Roman" w:eastAsia="Times New Roman" w:hAnsi="Times New Roman" w:cs="Times New Roman"/>
                <w:b/>
                <w:bCs/>
                <w:noProof/>
                <w:color w:val="000000"/>
                <w:lang w:val="en-IE" w:eastAsia="en-IE"/>
              </w:rPr>
              <w:t>Description</w:t>
            </w:r>
          </w:p>
        </w:tc>
        <w:tc>
          <w:tcPr>
            <w:tcW w:w="1060" w:type="dxa"/>
            <w:tcBorders>
              <w:top w:val="single" w:sz="4" w:space="0" w:color="auto"/>
              <w:left w:val="nil"/>
              <w:bottom w:val="single" w:sz="4" w:space="0" w:color="auto"/>
              <w:right w:val="single" w:sz="4" w:space="0" w:color="auto"/>
            </w:tcBorders>
            <w:hideMark/>
          </w:tcPr>
          <w:p w14:paraId="5FB4C439" w14:textId="09EDE2BC" w:rsidR="005C680C" w:rsidRPr="005C680C" w:rsidRDefault="0062676F" w:rsidP="005C680C">
            <w:pPr>
              <w:spacing w:after="0" w:line="240" w:lineRule="auto"/>
              <w:rPr>
                <w:rFonts w:ascii="Times New Roman" w:eastAsia="Times New Roman" w:hAnsi="Times New Roman" w:cs="Times New Roman"/>
                <w:b/>
                <w:bCs/>
                <w:noProof/>
                <w:color w:val="000000"/>
                <w:lang w:val="en-IE" w:eastAsia="en-IE"/>
              </w:rPr>
            </w:pPr>
            <w:r>
              <w:rPr>
                <w:rFonts w:ascii="Times New Roman" w:eastAsia="Times New Roman" w:hAnsi="Times New Roman" w:cs="Times New Roman"/>
                <w:noProof/>
                <w:color w:val="000000" w:themeColor="text1"/>
                <w:lang w:val="en-IE"/>
              </w:rPr>
              <w:t xml:space="preserve"> TDFCL</w:t>
            </w:r>
            <w:r w:rsidR="000B29CA">
              <w:rPr>
                <w:rFonts w:ascii="Times New Roman" w:eastAsia="Times New Roman" w:hAnsi="Times New Roman" w:cs="Times New Roman"/>
                <w:noProof/>
                <w:color w:val="000000" w:themeColor="text1"/>
                <w:lang w:val="en-IE"/>
              </w:rPr>
              <w:t xml:space="preserve"> </w:t>
            </w:r>
            <w:r w:rsidR="00331FE0">
              <w:rPr>
                <w:rFonts w:ascii="Times New Roman" w:eastAsia="Times New Roman" w:hAnsi="Times New Roman" w:cs="Times New Roman"/>
                <w:noProof/>
                <w:color w:val="000000" w:themeColor="text1"/>
                <w:lang w:val="en-IE"/>
              </w:rPr>
              <w:t>Indicator</w:t>
            </w:r>
          </w:p>
        </w:tc>
      </w:tr>
      <w:tr w:rsidR="00743C26" w:rsidRPr="005C680C" w14:paraId="3EF8E941"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78017AC2"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26011200</w:t>
            </w:r>
          </w:p>
        </w:tc>
        <w:tc>
          <w:tcPr>
            <w:tcW w:w="7983" w:type="dxa"/>
            <w:tcBorders>
              <w:top w:val="nil"/>
              <w:left w:val="nil"/>
              <w:bottom w:val="single" w:sz="4" w:space="0" w:color="auto"/>
              <w:right w:val="single" w:sz="4" w:space="0" w:color="auto"/>
            </w:tcBorders>
            <w:hideMark/>
          </w:tcPr>
          <w:p w14:paraId="6BCF497A"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Agglomerated iron ores and concentrates (excl. roasted iron pyrites)</w:t>
            </w:r>
          </w:p>
        </w:tc>
        <w:tc>
          <w:tcPr>
            <w:tcW w:w="1060" w:type="dxa"/>
            <w:tcBorders>
              <w:top w:val="nil"/>
              <w:left w:val="nil"/>
              <w:bottom w:val="single" w:sz="4" w:space="0" w:color="auto"/>
              <w:right w:val="single" w:sz="4" w:space="0" w:color="auto"/>
            </w:tcBorders>
            <w:hideMark/>
          </w:tcPr>
          <w:p w14:paraId="0A42C7D5"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0.38</w:t>
            </w:r>
          </w:p>
        </w:tc>
      </w:tr>
      <w:tr w:rsidR="00743C26" w:rsidRPr="005C680C" w14:paraId="2B7E7C69"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6E194943"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72011019</w:t>
            </w:r>
          </w:p>
        </w:tc>
        <w:tc>
          <w:tcPr>
            <w:tcW w:w="7983" w:type="dxa"/>
            <w:tcBorders>
              <w:top w:val="nil"/>
              <w:left w:val="nil"/>
              <w:bottom w:val="single" w:sz="4" w:space="0" w:color="auto"/>
              <w:right w:val="single" w:sz="4" w:space="0" w:color="auto"/>
            </w:tcBorders>
            <w:hideMark/>
          </w:tcPr>
          <w:p w14:paraId="5B1C89B2"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Non-alloy pig iron in pigs, blocks or other primary forms, containing by weight &lt;= 0,5% phosphorus, &gt;= 0,4% manganese and &gt; 1% silicon</w:t>
            </w:r>
          </w:p>
        </w:tc>
        <w:tc>
          <w:tcPr>
            <w:tcW w:w="1060" w:type="dxa"/>
            <w:tcBorders>
              <w:top w:val="nil"/>
              <w:left w:val="nil"/>
              <w:bottom w:val="single" w:sz="4" w:space="0" w:color="auto"/>
              <w:right w:val="single" w:sz="4" w:space="0" w:color="auto"/>
            </w:tcBorders>
            <w:hideMark/>
          </w:tcPr>
          <w:p w14:paraId="70DB6354"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0.33</w:t>
            </w:r>
          </w:p>
        </w:tc>
      </w:tr>
      <w:tr w:rsidR="0095523F" w:rsidRPr="005C680C" w14:paraId="31D59163"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2E779B64"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72012000</w:t>
            </w:r>
          </w:p>
        </w:tc>
        <w:tc>
          <w:tcPr>
            <w:tcW w:w="7983" w:type="dxa"/>
            <w:tcBorders>
              <w:top w:val="nil"/>
              <w:left w:val="nil"/>
              <w:bottom w:val="single" w:sz="4" w:space="0" w:color="auto"/>
              <w:right w:val="single" w:sz="4" w:space="0" w:color="auto"/>
            </w:tcBorders>
            <w:hideMark/>
          </w:tcPr>
          <w:p w14:paraId="3D911D9A"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Non-alloy pig iron in pigs, blocks or other primary forms, containing by weight &gt;= 0,5% phosphorus</w:t>
            </w:r>
          </w:p>
        </w:tc>
        <w:tc>
          <w:tcPr>
            <w:tcW w:w="1060" w:type="dxa"/>
            <w:tcBorders>
              <w:top w:val="nil"/>
              <w:left w:val="nil"/>
              <w:bottom w:val="single" w:sz="4" w:space="0" w:color="auto"/>
              <w:right w:val="single" w:sz="4" w:space="0" w:color="auto"/>
            </w:tcBorders>
            <w:hideMark/>
          </w:tcPr>
          <w:p w14:paraId="0329615C"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1.78</w:t>
            </w:r>
          </w:p>
        </w:tc>
      </w:tr>
      <w:tr w:rsidR="0095523F" w:rsidRPr="005C680C" w14:paraId="4A17FC61"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4861E8F6"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72015010</w:t>
            </w:r>
          </w:p>
        </w:tc>
        <w:tc>
          <w:tcPr>
            <w:tcW w:w="7983" w:type="dxa"/>
            <w:tcBorders>
              <w:top w:val="nil"/>
              <w:left w:val="nil"/>
              <w:bottom w:val="single" w:sz="4" w:space="0" w:color="auto"/>
              <w:right w:val="single" w:sz="4" w:space="0" w:color="auto"/>
            </w:tcBorders>
            <w:hideMark/>
          </w:tcPr>
          <w:p w14:paraId="6F331289"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Alloy pig iron in pigs, blocks or other primary forms, containing by weight &gt;= 0,3% but &lt;= 1% titanium and &gt;= 0,5% but &lt;= 1% vanadium</w:t>
            </w:r>
          </w:p>
        </w:tc>
        <w:tc>
          <w:tcPr>
            <w:tcW w:w="1060" w:type="dxa"/>
            <w:tcBorders>
              <w:top w:val="nil"/>
              <w:left w:val="nil"/>
              <w:bottom w:val="single" w:sz="4" w:space="0" w:color="auto"/>
              <w:right w:val="single" w:sz="4" w:space="0" w:color="auto"/>
            </w:tcBorders>
            <w:hideMark/>
          </w:tcPr>
          <w:p w14:paraId="155B0490"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1.38</w:t>
            </w:r>
          </w:p>
        </w:tc>
      </w:tr>
      <w:tr w:rsidR="00743C26" w:rsidRPr="005C680C" w14:paraId="549BB7C6"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012573F4"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72015090</w:t>
            </w:r>
          </w:p>
        </w:tc>
        <w:tc>
          <w:tcPr>
            <w:tcW w:w="7983" w:type="dxa"/>
            <w:tcBorders>
              <w:top w:val="nil"/>
              <w:left w:val="nil"/>
              <w:bottom w:val="single" w:sz="4" w:space="0" w:color="auto"/>
              <w:right w:val="single" w:sz="4" w:space="0" w:color="auto"/>
            </w:tcBorders>
            <w:hideMark/>
          </w:tcPr>
          <w:p w14:paraId="14DE092C"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Alloy pig iron and spiegeleisen, in pigs, blocks or other primary forms (excl. alloy iron containing, by weight, &gt;= 0,3% but &lt;= 1% titanium and &gt;= 0,5% but &lt;= 1% vanadium)</w:t>
            </w:r>
          </w:p>
        </w:tc>
        <w:tc>
          <w:tcPr>
            <w:tcW w:w="1060" w:type="dxa"/>
            <w:tcBorders>
              <w:top w:val="nil"/>
              <w:left w:val="nil"/>
              <w:bottom w:val="single" w:sz="4" w:space="0" w:color="auto"/>
              <w:right w:val="single" w:sz="4" w:space="0" w:color="auto"/>
            </w:tcBorders>
            <w:hideMark/>
          </w:tcPr>
          <w:p w14:paraId="251292F0"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0.49</w:t>
            </w:r>
          </w:p>
        </w:tc>
      </w:tr>
      <w:tr w:rsidR="00743C26" w:rsidRPr="005C680C" w14:paraId="0F58A819"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74E5FA0F"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72021180</w:t>
            </w:r>
          </w:p>
        </w:tc>
        <w:tc>
          <w:tcPr>
            <w:tcW w:w="7983" w:type="dxa"/>
            <w:tcBorders>
              <w:top w:val="nil"/>
              <w:left w:val="nil"/>
              <w:bottom w:val="single" w:sz="4" w:space="0" w:color="auto"/>
              <w:right w:val="single" w:sz="4" w:space="0" w:color="auto"/>
            </w:tcBorders>
            <w:hideMark/>
          </w:tcPr>
          <w:p w14:paraId="35B712C7"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Ferro-manganese, containing by weight &gt; 2% carbon (excl. ferro-manganese with a granulometry of &lt;= 5 mm and containing by weight &gt; 65% manganese)</w:t>
            </w:r>
          </w:p>
        </w:tc>
        <w:tc>
          <w:tcPr>
            <w:tcW w:w="1060" w:type="dxa"/>
            <w:tcBorders>
              <w:top w:val="nil"/>
              <w:left w:val="nil"/>
              <w:bottom w:val="single" w:sz="4" w:space="0" w:color="auto"/>
              <w:right w:val="single" w:sz="4" w:space="0" w:color="auto"/>
            </w:tcBorders>
            <w:hideMark/>
          </w:tcPr>
          <w:p w14:paraId="4B58238D"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0.36</w:t>
            </w:r>
          </w:p>
        </w:tc>
      </w:tr>
      <w:tr w:rsidR="00743C26" w:rsidRPr="005C680C" w14:paraId="2FD239AF"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573592AF"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72021900</w:t>
            </w:r>
          </w:p>
        </w:tc>
        <w:tc>
          <w:tcPr>
            <w:tcW w:w="7983" w:type="dxa"/>
            <w:tcBorders>
              <w:top w:val="nil"/>
              <w:left w:val="nil"/>
              <w:bottom w:val="single" w:sz="4" w:space="0" w:color="auto"/>
              <w:right w:val="single" w:sz="4" w:space="0" w:color="auto"/>
            </w:tcBorders>
            <w:hideMark/>
          </w:tcPr>
          <w:p w14:paraId="3D4927FB"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Ferro-manganese, containing by weight &lt;= 2% carbon</w:t>
            </w:r>
          </w:p>
        </w:tc>
        <w:tc>
          <w:tcPr>
            <w:tcW w:w="1060" w:type="dxa"/>
            <w:tcBorders>
              <w:top w:val="nil"/>
              <w:left w:val="nil"/>
              <w:bottom w:val="single" w:sz="4" w:space="0" w:color="auto"/>
              <w:right w:val="single" w:sz="4" w:space="0" w:color="auto"/>
            </w:tcBorders>
            <w:hideMark/>
          </w:tcPr>
          <w:p w14:paraId="3A8F8AF2"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0.38</w:t>
            </w:r>
          </w:p>
        </w:tc>
      </w:tr>
      <w:tr w:rsidR="00743C26" w:rsidRPr="005C680C" w14:paraId="1A5CDD61"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2EFBCB43"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72024190</w:t>
            </w:r>
          </w:p>
        </w:tc>
        <w:tc>
          <w:tcPr>
            <w:tcW w:w="7983" w:type="dxa"/>
            <w:tcBorders>
              <w:top w:val="nil"/>
              <w:left w:val="nil"/>
              <w:bottom w:val="single" w:sz="4" w:space="0" w:color="auto"/>
              <w:right w:val="single" w:sz="4" w:space="0" w:color="auto"/>
            </w:tcBorders>
            <w:hideMark/>
          </w:tcPr>
          <w:p w14:paraId="0CB19745"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Ferro-chromium, containing by weight &gt; 6% carbon</w:t>
            </w:r>
          </w:p>
        </w:tc>
        <w:tc>
          <w:tcPr>
            <w:tcW w:w="1060" w:type="dxa"/>
            <w:tcBorders>
              <w:top w:val="nil"/>
              <w:left w:val="nil"/>
              <w:bottom w:val="single" w:sz="4" w:space="0" w:color="auto"/>
              <w:right w:val="single" w:sz="4" w:space="0" w:color="auto"/>
            </w:tcBorders>
            <w:hideMark/>
          </w:tcPr>
          <w:p w14:paraId="1404E1F3"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0.32</w:t>
            </w:r>
          </w:p>
        </w:tc>
      </w:tr>
      <w:tr w:rsidR="0095523F" w:rsidRPr="005C680C" w14:paraId="0E744C1A"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77A58B41"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72024910</w:t>
            </w:r>
          </w:p>
        </w:tc>
        <w:tc>
          <w:tcPr>
            <w:tcW w:w="7983" w:type="dxa"/>
            <w:tcBorders>
              <w:top w:val="nil"/>
              <w:left w:val="nil"/>
              <w:bottom w:val="single" w:sz="4" w:space="0" w:color="auto"/>
              <w:right w:val="single" w:sz="4" w:space="0" w:color="auto"/>
            </w:tcBorders>
            <w:hideMark/>
          </w:tcPr>
          <w:p w14:paraId="24DC4596"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Ferro-chromium, containing by weight &lt;= 0,05% carbon</w:t>
            </w:r>
          </w:p>
        </w:tc>
        <w:tc>
          <w:tcPr>
            <w:tcW w:w="1060" w:type="dxa"/>
            <w:tcBorders>
              <w:top w:val="nil"/>
              <w:left w:val="nil"/>
              <w:bottom w:val="single" w:sz="4" w:space="0" w:color="auto"/>
              <w:right w:val="single" w:sz="4" w:space="0" w:color="auto"/>
            </w:tcBorders>
            <w:hideMark/>
          </w:tcPr>
          <w:p w14:paraId="31664078"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0.88</w:t>
            </w:r>
          </w:p>
        </w:tc>
      </w:tr>
      <w:tr w:rsidR="00743C26" w:rsidRPr="005C680C" w14:paraId="1BCF9ACE"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0C215B69"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72026000</w:t>
            </w:r>
          </w:p>
        </w:tc>
        <w:tc>
          <w:tcPr>
            <w:tcW w:w="7983" w:type="dxa"/>
            <w:tcBorders>
              <w:top w:val="nil"/>
              <w:left w:val="nil"/>
              <w:bottom w:val="single" w:sz="4" w:space="0" w:color="auto"/>
              <w:right w:val="single" w:sz="4" w:space="0" w:color="auto"/>
            </w:tcBorders>
            <w:hideMark/>
          </w:tcPr>
          <w:p w14:paraId="76BC7A7F"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Ferro-nickel</w:t>
            </w:r>
          </w:p>
        </w:tc>
        <w:tc>
          <w:tcPr>
            <w:tcW w:w="1060" w:type="dxa"/>
            <w:tcBorders>
              <w:top w:val="nil"/>
              <w:left w:val="nil"/>
              <w:bottom w:val="single" w:sz="4" w:space="0" w:color="auto"/>
              <w:right w:val="single" w:sz="4" w:space="0" w:color="auto"/>
            </w:tcBorders>
            <w:hideMark/>
          </w:tcPr>
          <w:p w14:paraId="37B4528C"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0.41</w:t>
            </w:r>
          </w:p>
        </w:tc>
      </w:tr>
      <w:tr w:rsidR="0095523F" w:rsidRPr="005C680C" w14:paraId="4C8CD525"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0672916E"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72039000</w:t>
            </w:r>
          </w:p>
        </w:tc>
        <w:tc>
          <w:tcPr>
            <w:tcW w:w="7983" w:type="dxa"/>
            <w:tcBorders>
              <w:top w:val="nil"/>
              <w:left w:val="nil"/>
              <w:bottom w:val="single" w:sz="4" w:space="0" w:color="auto"/>
              <w:right w:val="single" w:sz="4" w:space="0" w:color="auto"/>
            </w:tcBorders>
            <w:hideMark/>
          </w:tcPr>
          <w:p w14:paraId="7441CC19"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Spongy ferrous products, obtained from molten pig iron by atomisation, iron of a purity of &gt;= 99,94%, in lumps, pellets or similar forms</w:t>
            </w:r>
          </w:p>
        </w:tc>
        <w:tc>
          <w:tcPr>
            <w:tcW w:w="1060" w:type="dxa"/>
            <w:tcBorders>
              <w:top w:val="nil"/>
              <w:left w:val="nil"/>
              <w:bottom w:val="single" w:sz="4" w:space="0" w:color="auto"/>
              <w:right w:val="single" w:sz="4" w:space="0" w:color="auto"/>
            </w:tcBorders>
            <w:hideMark/>
          </w:tcPr>
          <w:p w14:paraId="1B3FE28E"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0.58</w:t>
            </w:r>
          </w:p>
        </w:tc>
      </w:tr>
      <w:tr w:rsidR="00743C26" w:rsidRPr="005C680C" w14:paraId="5C6DC14B"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3101BD96"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72052100</w:t>
            </w:r>
          </w:p>
        </w:tc>
        <w:tc>
          <w:tcPr>
            <w:tcW w:w="7983" w:type="dxa"/>
            <w:tcBorders>
              <w:top w:val="nil"/>
              <w:left w:val="nil"/>
              <w:bottom w:val="single" w:sz="4" w:space="0" w:color="auto"/>
              <w:right w:val="single" w:sz="4" w:space="0" w:color="auto"/>
            </w:tcBorders>
            <w:hideMark/>
          </w:tcPr>
          <w:p w14:paraId="2AD2EFD9"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Powders, of alloy steel (excl. powders of ferro-alloys and radioactive iron powders "isotopes")</w:t>
            </w:r>
          </w:p>
        </w:tc>
        <w:tc>
          <w:tcPr>
            <w:tcW w:w="1060" w:type="dxa"/>
            <w:tcBorders>
              <w:top w:val="nil"/>
              <w:left w:val="nil"/>
              <w:bottom w:val="single" w:sz="4" w:space="0" w:color="auto"/>
              <w:right w:val="single" w:sz="4" w:space="0" w:color="auto"/>
            </w:tcBorders>
            <w:hideMark/>
          </w:tcPr>
          <w:p w14:paraId="79480ED4"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0.32</w:t>
            </w:r>
          </w:p>
        </w:tc>
      </w:tr>
      <w:tr w:rsidR="00743C26" w:rsidRPr="005C680C" w14:paraId="1A2109F3"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799D31D6"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72052900</w:t>
            </w:r>
          </w:p>
        </w:tc>
        <w:tc>
          <w:tcPr>
            <w:tcW w:w="7983" w:type="dxa"/>
            <w:tcBorders>
              <w:top w:val="nil"/>
              <w:left w:val="nil"/>
              <w:bottom w:val="single" w:sz="4" w:space="0" w:color="auto"/>
              <w:right w:val="single" w:sz="4" w:space="0" w:color="auto"/>
            </w:tcBorders>
            <w:hideMark/>
          </w:tcPr>
          <w:p w14:paraId="1E8DC58C"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Powders, of pig iron, spiegeleisen, iron or non-alloy steel (excl. powders of ferro-alloys and radioactive iron powders "isotopes")</w:t>
            </w:r>
          </w:p>
        </w:tc>
        <w:tc>
          <w:tcPr>
            <w:tcW w:w="1060" w:type="dxa"/>
            <w:tcBorders>
              <w:top w:val="nil"/>
              <w:left w:val="nil"/>
              <w:bottom w:val="single" w:sz="4" w:space="0" w:color="auto"/>
              <w:right w:val="single" w:sz="4" w:space="0" w:color="auto"/>
            </w:tcBorders>
            <w:hideMark/>
          </w:tcPr>
          <w:p w14:paraId="3FE0476D"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0.48</w:t>
            </w:r>
          </w:p>
        </w:tc>
      </w:tr>
      <w:tr w:rsidR="0095523F" w:rsidRPr="005C680C" w14:paraId="0566968F" w14:textId="77777777" w:rsidTr="00A46DBB">
        <w:trPr>
          <w:trHeight w:val="900"/>
        </w:trPr>
        <w:tc>
          <w:tcPr>
            <w:tcW w:w="1057" w:type="dxa"/>
            <w:tcBorders>
              <w:top w:val="nil"/>
              <w:left w:val="single" w:sz="4" w:space="0" w:color="auto"/>
              <w:bottom w:val="single" w:sz="4" w:space="0" w:color="auto"/>
              <w:right w:val="single" w:sz="4" w:space="0" w:color="auto"/>
            </w:tcBorders>
            <w:vAlign w:val="center"/>
            <w:hideMark/>
          </w:tcPr>
          <w:p w14:paraId="00877198"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72072039</w:t>
            </w:r>
          </w:p>
        </w:tc>
        <w:tc>
          <w:tcPr>
            <w:tcW w:w="7983" w:type="dxa"/>
            <w:tcBorders>
              <w:top w:val="nil"/>
              <w:left w:val="nil"/>
              <w:bottom w:val="single" w:sz="4" w:space="0" w:color="auto"/>
              <w:right w:val="single" w:sz="4" w:space="0" w:color="auto"/>
            </w:tcBorders>
            <w:hideMark/>
          </w:tcPr>
          <w:p w14:paraId="671D7E2D"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Semi-finished products of iron or non-alloy steel, containing by weight &gt;= 0,25% carbon, of rectangular "other than square" cross-section and the width &gt;= twice the thickness, forged</w:t>
            </w:r>
          </w:p>
        </w:tc>
        <w:tc>
          <w:tcPr>
            <w:tcW w:w="1060" w:type="dxa"/>
            <w:tcBorders>
              <w:top w:val="nil"/>
              <w:left w:val="nil"/>
              <w:bottom w:val="single" w:sz="4" w:space="0" w:color="auto"/>
              <w:right w:val="single" w:sz="4" w:space="0" w:color="auto"/>
            </w:tcBorders>
            <w:hideMark/>
          </w:tcPr>
          <w:p w14:paraId="717E79C2"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1.15</w:t>
            </w:r>
          </w:p>
        </w:tc>
      </w:tr>
      <w:tr w:rsidR="00743C26" w:rsidRPr="005C680C" w14:paraId="7D975C69" w14:textId="77777777" w:rsidTr="00A46DBB">
        <w:trPr>
          <w:trHeight w:val="900"/>
        </w:trPr>
        <w:tc>
          <w:tcPr>
            <w:tcW w:w="1057" w:type="dxa"/>
            <w:tcBorders>
              <w:top w:val="nil"/>
              <w:left w:val="single" w:sz="4" w:space="0" w:color="auto"/>
              <w:bottom w:val="single" w:sz="4" w:space="0" w:color="auto"/>
              <w:right w:val="single" w:sz="4" w:space="0" w:color="auto"/>
            </w:tcBorders>
            <w:vAlign w:val="center"/>
            <w:hideMark/>
          </w:tcPr>
          <w:p w14:paraId="7A55F49C"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72081000</w:t>
            </w:r>
          </w:p>
        </w:tc>
        <w:tc>
          <w:tcPr>
            <w:tcW w:w="7983" w:type="dxa"/>
            <w:tcBorders>
              <w:top w:val="nil"/>
              <w:left w:val="nil"/>
              <w:bottom w:val="single" w:sz="4" w:space="0" w:color="auto"/>
              <w:right w:val="single" w:sz="4" w:space="0" w:color="auto"/>
            </w:tcBorders>
            <w:hideMark/>
          </w:tcPr>
          <w:p w14:paraId="4E96064C"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Flat-rolled products of iron or non-alloy steel, of a width of &gt;= 600 mm, in coils, simply hot-rolled, not clad, plated or coated, with patterns in relief directly due to the rolling process</w:t>
            </w:r>
          </w:p>
        </w:tc>
        <w:tc>
          <w:tcPr>
            <w:tcW w:w="1060" w:type="dxa"/>
            <w:tcBorders>
              <w:top w:val="nil"/>
              <w:left w:val="nil"/>
              <w:bottom w:val="single" w:sz="4" w:space="0" w:color="auto"/>
              <w:right w:val="single" w:sz="4" w:space="0" w:color="auto"/>
            </w:tcBorders>
            <w:hideMark/>
          </w:tcPr>
          <w:p w14:paraId="6C7C74BD"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0.33</w:t>
            </w:r>
          </w:p>
        </w:tc>
      </w:tr>
      <w:tr w:rsidR="00743C26" w:rsidRPr="005C680C" w14:paraId="6D055529"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32C11BC3"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72099020</w:t>
            </w:r>
          </w:p>
        </w:tc>
        <w:tc>
          <w:tcPr>
            <w:tcW w:w="7983" w:type="dxa"/>
            <w:tcBorders>
              <w:top w:val="nil"/>
              <w:left w:val="nil"/>
              <w:bottom w:val="single" w:sz="4" w:space="0" w:color="auto"/>
              <w:right w:val="single" w:sz="4" w:space="0" w:color="auto"/>
            </w:tcBorders>
            <w:hideMark/>
          </w:tcPr>
          <w:p w14:paraId="3552C5CE"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Flat-rolled products of iron or steel, of a width of &gt;= 600 mm, cold-rolled "cold-reduced" and further worked, but not clad, plated or coated, perforated</w:t>
            </w:r>
          </w:p>
        </w:tc>
        <w:tc>
          <w:tcPr>
            <w:tcW w:w="1060" w:type="dxa"/>
            <w:tcBorders>
              <w:top w:val="nil"/>
              <w:left w:val="nil"/>
              <w:bottom w:val="single" w:sz="4" w:space="0" w:color="auto"/>
              <w:right w:val="single" w:sz="4" w:space="0" w:color="auto"/>
            </w:tcBorders>
            <w:hideMark/>
          </w:tcPr>
          <w:p w14:paraId="437B51FE"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0.32</w:t>
            </w:r>
          </w:p>
        </w:tc>
      </w:tr>
      <w:tr w:rsidR="00743C26" w:rsidRPr="005C680C" w14:paraId="4587443E"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00A10893"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72101100</w:t>
            </w:r>
          </w:p>
        </w:tc>
        <w:tc>
          <w:tcPr>
            <w:tcW w:w="7983" w:type="dxa"/>
            <w:tcBorders>
              <w:top w:val="nil"/>
              <w:left w:val="nil"/>
              <w:bottom w:val="single" w:sz="4" w:space="0" w:color="auto"/>
              <w:right w:val="single" w:sz="4" w:space="0" w:color="auto"/>
            </w:tcBorders>
            <w:hideMark/>
          </w:tcPr>
          <w:p w14:paraId="3CD29A7D"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Flat-rolled products of iron or non-alloy steel, of a width of &gt;= 600 mm, hot-rolled or cold-rolled "cold-reduced", tinned, of a thickness of &gt;= 0,5 mm</w:t>
            </w:r>
          </w:p>
        </w:tc>
        <w:tc>
          <w:tcPr>
            <w:tcW w:w="1060" w:type="dxa"/>
            <w:tcBorders>
              <w:top w:val="nil"/>
              <w:left w:val="nil"/>
              <w:bottom w:val="single" w:sz="4" w:space="0" w:color="auto"/>
              <w:right w:val="single" w:sz="4" w:space="0" w:color="auto"/>
            </w:tcBorders>
            <w:hideMark/>
          </w:tcPr>
          <w:p w14:paraId="767D71E5"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0.34</w:t>
            </w:r>
          </w:p>
        </w:tc>
      </w:tr>
      <w:tr w:rsidR="00743C26" w:rsidRPr="005C680C" w14:paraId="4F4BC699" w14:textId="77777777" w:rsidTr="00A46DBB">
        <w:trPr>
          <w:trHeight w:val="900"/>
        </w:trPr>
        <w:tc>
          <w:tcPr>
            <w:tcW w:w="1057" w:type="dxa"/>
            <w:tcBorders>
              <w:top w:val="nil"/>
              <w:left w:val="single" w:sz="4" w:space="0" w:color="auto"/>
              <w:bottom w:val="single" w:sz="4" w:space="0" w:color="auto"/>
              <w:right w:val="single" w:sz="4" w:space="0" w:color="auto"/>
            </w:tcBorders>
            <w:vAlign w:val="center"/>
            <w:hideMark/>
          </w:tcPr>
          <w:p w14:paraId="7151E7A5"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72101220</w:t>
            </w:r>
          </w:p>
        </w:tc>
        <w:tc>
          <w:tcPr>
            <w:tcW w:w="7983" w:type="dxa"/>
            <w:tcBorders>
              <w:top w:val="nil"/>
              <w:left w:val="nil"/>
              <w:bottom w:val="single" w:sz="4" w:space="0" w:color="auto"/>
              <w:right w:val="single" w:sz="4" w:space="0" w:color="auto"/>
            </w:tcBorders>
            <w:hideMark/>
          </w:tcPr>
          <w:p w14:paraId="6E309F12"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Tinplate of iron or non-alloy steel, of a width of &gt;= 600 mm and of a thickness of &lt; 0,5 mm, tinned [coated with a layer of metal containing, by weight,  &gt;= 97% of tin], not further worked than surface-treated</w:t>
            </w:r>
          </w:p>
        </w:tc>
        <w:tc>
          <w:tcPr>
            <w:tcW w:w="1060" w:type="dxa"/>
            <w:tcBorders>
              <w:top w:val="nil"/>
              <w:left w:val="nil"/>
              <w:bottom w:val="single" w:sz="4" w:space="0" w:color="auto"/>
              <w:right w:val="single" w:sz="4" w:space="0" w:color="auto"/>
            </w:tcBorders>
            <w:hideMark/>
          </w:tcPr>
          <w:p w14:paraId="5A5378BD"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0.42</w:t>
            </w:r>
          </w:p>
        </w:tc>
      </w:tr>
      <w:tr w:rsidR="00743C26" w:rsidRPr="005C680C" w14:paraId="62D6C987" w14:textId="77777777" w:rsidTr="00A46DBB">
        <w:trPr>
          <w:trHeight w:val="1500"/>
        </w:trPr>
        <w:tc>
          <w:tcPr>
            <w:tcW w:w="1057" w:type="dxa"/>
            <w:tcBorders>
              <w:top w:val="nil"/>
              <w:left w:val="single" w:sz="4" w:space="0" w:color="auto"/>
              <w:bottom w:val="single" w:sz="4" w:space="0" w:color="auto"/>
              <w:right w:val="single" w:sz="4" w:space="0" w:color="auto"/>
            </w:tcBorders>
            <w:vAlign w:val="center"/>
            <w:hideMark/>
          </w:tcPr>
          <w:p w14:paraId="290EB08D"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72107010</w:t>
            </w:r>
          </w:p>
        </w:tc>
        <w:tc>
          <w:tcPr>
            <w:tcW w:w="7983" w:type="dxa"/>
            <w:tcBorders>
              <w:top w:val="nil"/>
              <w:left w:val="nil"/>
              <w:bottom w:val="single" w:sz="4" w:space="0" w:color="auto"/>
              <w:right w:val="single" w:sz="4" w:space="0" w:color="auto"/>
            </w:tcBorders>
            <w:hideMark/>
          </w:tcPr>
          <w:p w14:paraId="3397EA50"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Tinplate of a width of &gt;= 600 mm and of a thickness of &lt; 0,5 mm, tinned [coated with a layer of metal containing, by weight,  &gt;= 97% of tin], not further worked than varnished, and flat products plated or coated with chromium oxides or with chromium and chromium oxides, of iron or non-alloy steel, of a width of &gt;= 600 mm, hot-rolled or cold-rolled "cold-reduced", varnished</w:t>
            </w:r>
          </w:p>
        </w:tc>
        <w:tc>
          <w:tcPr>
            <w:tcW w:w="1060" w:type="dxa"/>
            <w:tcBorders>
              <w:top w:val="nil"/>
              <w:left w:val="nil"/>
              <w:bottom w:val="single" w:sz="4" w:space="0" w:color="auto"/>
              <w:right w:val="single" w:sz="4" w:space="0" w:color="auto"/>
            </w:tcBorders>
            <w:hideMark/>
          </w:tcPr>
          <w:p w14:paraId="6604D7C7"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0.43</w:t>
            </w:r>
          </w:p>
        </w:tc>
      </w:tr>
      <w:tr w:rsidR="00743C26" w:rsidRPr="005C680C" w14:paraId="35267B44"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64FE30E2"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72109040</w:t>
            </w:r>
          </w:p>
        </w:tc>
        <w:tc>
          <w:tcPr>
            <w:tcW w:w="7983" w:type="dxa"/>
            <w:tcBorders>
              <w:top w:val="nil"/>
              <w:left w:val="nil"/>
              <w:bottom w:val="single" w:sz="4" w:space="0" w:color="auto"/>
              <w:right w:val="single" w:sz="4" w:space="0" w:color="auto"/>
            </w:tcBorders>
            <w:hideMark/>
          </w:tcPr>
          <w:p w14:paraId="06A63D13"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Flat-rolled products of iron or non-alloy steel, tinned and printed, of a width of &gt;= 600 mm, hot-rolled or cold-rolled "cold-reduced"</w:t>
            </w:r>
          </w:p>
        </w:tc>
        <w:tc>
          <w:tcPr>
            <w:tcW w:w="1060" w:type="dxa"/>
            <w:tcBorders>
              <w:top w:val="nil"/>
              <w:left w:val="nil"/>
              <w:bottom w:val="single" w:sz="4" w:space="0" w:color="auto"/>
              <w:right w:val="single" w:sz="4" w:space="0" w:color="auto"/>
            </w:tcBorders>
            <w:hideMark/>
          </w:tcPr>
          <w:p w14:paraId="3281B5C1"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0.39</w:t>
            </w:r>
          </w:p>
        </w:tc>
      </w:tr>
      <w:tr w:rsidR="00743C26" w:rsidRPr="005C680C" w14:paraId="33916A57" w14:textId="77777777" w:rsidTr="00A46DBB">
        <w:trPr>
          <w:trHeight w:val="1500"/>
        </w:trPr>
        <w:tc>
          <w:tcPr>
            <w:tcW w:w="1057" w:type="dxa"/>
            <w:tcBorders>
              <w:top w:val="nil"/>
              <w:left w:val="single" w:sz="4" w:space="0" w:color="auto"/>
              <w:bottom w:val="single" w:sz="4" w:space="0" w:color="auto"/>
              <w:right w:val="single" w:sz="4" w:space="0" w:color="auto"/>
            </w:tcBorders>
            <w:vAlign w:val="center"/>
            <w:hideMark/>
          </w:tcPr>
          <w:p w14:paraId="2053A47D"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72124020</w:t>
            </w:r>
          </w:p>
        </w:tc>
        <w:tc>
          <w:tcPr>
            <w:tcW w:w="7983" w:type="dxa"/>
            <w:tcBorders>
              <w:top w:val="nil"/>
              <w:left w:val="nil"/>
              <w:bottom w:val="single" w:sz="4" w:space="0" w:color="auto"/>
              <w:right w:val="single" w:sz="4" w:space="0" w:color="auto"/>
            </w:tcBorders>
            <w:hideMark/>
          </w:tcPr>
          <w:p w14:paraId="43DA1F82"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Tinplate of a width of &lt; 600 mm and of a thickness of &lt; 0,5 mm, tinned [coated with a layer of metal containing, by weight,  &gt;= 97% of tin], not further worked than varnished, and flat products plated or coated with chromium oxides or with chromium and chromium oxides, of iron or non-alloy steel, of a width of &lt; 600 mm, hot-rolled or cold-rolled "cold-reduced", varnished</w:t>
            </w:r>
          </w:p>
        </w:tc>
        <w:tc>
          <w:tcPr>
            <w:tcW w:w="1060" w:type="dxa"/>
            <w:tcBorders>
              <w:top w:val="nil"/>
              <w:left w:val="nil"/>
              <w:bottom w:val="single" w:sz="4" w:space="0" w:color="auto"/>
              <w:right w:val="single" w:sz="4" w:space="0" w:color="auto"/>
            </w:tcBorders>
            <w:hideMark/>
          </w:tcPr>
          <w:p w14:paraId="21F79EBD"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0.43</w:t>
            </w:r>
          </w:p>
        </w:tc>
      </w:tr>
      <w:tr w:rsidR="00743C26" w:rsidRPr="005C680C" w14:paraId="7B5E5B49" w14:textId="77777777" w:rsidTr="00A46DBB">
        <w:trPr>
          <w:trHeight w:val="1200"/>
        </w:trPr>
        <w:tc>
          <w:tcPr>
            <w:tcW w:w="1057" w:type="dxa"/>
            <w:tcBorders>
              <w:top w:val="nil"/>
              <w:left w:val="single" w:sz="4" w:space="0" w:color="auto"/>
              <w:bottom w:val="single" w:sz="4" w:space="0" w:color="auto"/>
              <w:right w:val="single" w:sz="4" w:space="0" w:color="auto"/>
            </w:tcBorders>
            <w:vAlign w:val="center"/>
            <w:hideMark/>
          </w:tcPr>
          <w:p w14:paraId="6CA94F7D"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72124080</w:t>
            </w:r>
          </w:p>
        </w:tc>
        <w:tc>
          <w:tcPr>
            <w:tcW w:w="7983" w:type="dxa"/>
            <w:tcBorders>
              <w:top w:val="nil"/>
              <w:left w:val="nil"/>
              <w:bottom w:val="single" w:sz="4" w:space="0" w:color="auto"/>
              <w:right w:val="single" w:sz="4" w:space="0" w:color="auto"/>
            </w:tcBorders>
            <w:hideMark/>
          </w:tcPr>
          <w:p w14:paraId="365B5DFB"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Flat-rolled products of iron or non-alloy steel, of a width of &lt; 600 mm, hot-rolled or cold-rolled "cold-reduced", painted, varnished or plastic coated (excl. tinplate, not further worked than varnished, and products plated or coated with chromium oxides or with chromium and chromium oxides, varnished)</w:t>
            </w:r>
          </w:p>
        </w:tc>
        <w:tc>
          <w:tcPr>
            <w:tcW w:w="1060" w:type="dxa"/>
            <w:tcBorders>
              <w:top w:val="nil"/>
              <w:left w:val="nil"/>
              <w:bottom w:val="single" w:sz="4" w:space="0" w:color="auto"/>
              <w:right w:val="single" w:sz="4" w:space="0" w:color="auto"/>
            </w:tcBorders>
            <w:hideMark/>
          </w:tcPr>
          <w:p w14:paraId="6A312B7D"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0.40</w:t>
            </w:r>
          </w:p>
        </w:tc>
      </w:tr>
      <w:tr w:rsidR="00743C26" w:rsidRPr="005C680C" w14:paraId="52E24FF4"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6DE0E98A"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72139120</w:t>
            </w:r>
          </w:p>
        </w:tc>
        <w:tc>
          <w:tcPr>
            <w:tcW w:w="7983" w:type="dxa"/>
            <w:tcBorders>
              <w:top w:val="nil"/>
              <w:left w:val="nil"/>
              <w:bottom w:val="single" w:sz="4" w:space="0" w:color="auto"/>
              <w:right w:val="single" w:sz="4" w:space="0" w:color="auto"/>
            </w:tcBorders>
            <w:hideMark/>
          </w:tcPr>
          <w:p w14:paraId="686C543B"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Bars and rods, hot-rolled, of the type used for tyre cord, smooth, of iron or non-alloy steel, in irregularly wound coils</w:t>
            </w:r>
          </w:p>
        </w:tc>
        <w:tc>
          <w:tcPr>
            <w:tcW w:w="1060" w:type="dxa"/>
            <w:tcBorders>
              <w:top w:val="nil"/>
              <w:left w:val="nil"/>
              <w:bottom w:val="single" w:sz="4" w:space="0" w:color="auto"/>
              <w:right w:val="single" w:sz="4" w:space="0" w:color="auto"/>
            </w:tcBorders>
            <w:hideMark/>
          </w:tcPr>
          <w:p w14:paraId="1EE85A70"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0.30</w:t>
            </w:r>
          </w:p>
        </w:tc>
      </w:tr>
      <w:tr w:rsidR="00743C26" w:rsidRPr="005C680C" w14:paraId="432A507B"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4F22389A"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72189920</w:t>
            </w:r>
          </w:p>
        </w:tc>
        <w:tc>
          <w:tcPr>
            <w:tcW w:w="7983" w:type="dxa"/>
            <w:tcBorders>
              <w:top w:val="nil"/>
              <w:left w:val="nil"/>
              <w:bottom w:val="single" w:sz="4" w:space="0" w:color="auto"/>
              <w:right w:val="single" w:sz="4" w:space="0" w:color="auto"/>
            </w:tcBorders>
            <w:hideMark/>
          </w:tcPr>
          <w:p w14:paraId="6EE25A89"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Semi-finished products of stainless steel, of circular cross-section or of cross-section other than square or rectangular, rolled or obtained by continuous casting</w:t>
            </w:r>
          </w:p>
        </w:tc>
        <w:tc>
          <w:tcPr>
            <w:tcW w:w="1060" w:type="dxa"/>
            <w:tcBorders>
              <w:top w:val="nil"/>
              <w:left w:val="nil"/>
              <w:bottom w:val="single" w:sz="4" w:space="0" w:color="auto"/>
              <w:right w:val="single" w:sz="4" w:space="0" w:color="auto"/>
            </w:tcBorders>
            <w:hideMark/>
          </w:tcPr>
          <w:p w14:paraId="7CB83DDD"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0.38</w:t>
            </w:r>
          </w:p>
        </w:tc>
      </w:tr>
      <w:tr w:rsidR="00743C26" w:rsidRPr="005C680C" w14:paraId="7D6D3B3A" w14:textId="77777777" w:rsidTr="00A46DBB">
        <w:trPr>
          <w:trHeight w:val="900"/>
        </w:trPr>
        <w:tc>
          <w:tcPr>
            <w:tcW w:w="1057" w:type="dxa"/>
            <w:tcBorders>
              <w:top w:val="nil"/>
              <w:left w:val="single" w:sz="4" w:space="0" w:color="auto"/>
              <w:bottom w:val="single" w:sz="4" w:space="0" w:color="auto"/>
              <w:right w:val="single" w:sz="4" w:space="0" w:color="auto"/>
            </w:tcBorders>
            <w:vAlign w:val="center"/>
            <w:hideMark/>
          </w:tcPr>
          <w:p w14:paraId="495E48A3"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72202089</w:t>
            </w:r>
          </w:p>
        </w:tc>
        <w:tc>
          <w:tcPr>
            <w:tcW w:w="7983" w:type="dxa"/>
            <w:tcBorders>
              <w:top w:val="nil"/>
              <w:left w:val="nil"/>
              <w:bottom w:val="single" w:sz="4" w:space="0" w:color="auto"/>
              <w:right w:val="single" w:sz="4" w:space="0" w:color="auto"/>
            </w:tcBorders>
            <w:hideMark/>
          </w:tcPr>
          <w:p w14:paraId="411579C5"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Flat-rolled products of stainless steel, of a width of &lt; 600 mm, not further worked than cold-rolled "cold-reduced", of a thickness of &lt;= 0,35 mm and containing by weight &lt; 2,5% nickel</w:t>
            </w:r>
          </w:p>
        </w:tc>
        <w:tc>
          <w:tcPr>
            <w:tcW w:w="1060" w:type="dxa"/>
            <w:tcBorders>
              <w:top w:val="nil"/>
              <w:left w:val="nil"/>
              <w:bottom w:val="single" w:sz="4" w:space="0" w:color="auto"/>
              <w:right w:val="single" w:sz="4" w:space="0" w:color="auto"/>
            </w:tcBorders>
            <w:hideMark/>
          </w:tcPr>
          <w:p w14:paraId="6FED4B43"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0.36</w:t>
            </w:r>
          </w:p>
        </w:tc>
      </w:tr>
      <w:tr w:rsidR="00743C26" w:rsidRPr="005C680C" w14:paraId="7A4A0096"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628623DE"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72209020</w:t>
            </w:r>
          </w:p>
        </w:tc>
        <w:tc>
          <w:tcPr>
            <w:tcW w:w="7983" w:type="dxa"/>
            <w:tcBorders>
              <w:top w:val="nil"/>
              <w:left w:val="nil"/>
              <w:bottom w:val="single" w:sz="4" w:space="0" w:color="auto"/>
              <w:right w:val="single" w:sz="4" w:space="0" w:color="auto"/>
            </w:tcBorders>
            <w:hideMark/>
          </w:tcPr>
          <w:p w14:paraId="4F1AE8F8"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Flat-rolled products of stainless steel, of a width of &lt; 600 mm, hot-rolled or cold-rolled "cold-reduced" and further worked, perforated</w:t>
            </w:r>
          </w:p>
        </w:tc>
        <w:tc>
          <w:tcPr>
            <w:tcW w:w="1060" w:type="dxa"/>
            <w:tcBorders>
              <w:top w:val="nil"/>
              <w:left w:val="nil"/>
              <w:bottom w:val="single" w:sz="4" w:space="0" w:color="auto"/>
              <w:right w:val="single" w:sz="4" w:space="0" w:color="auto"/>
            </w:tcBorders>
            <w:hideMark/>
          </w:tcPr>
          <w:p w14:paraId="56684C75"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0.32</w:t>
            </w:r>
          </w:p>
        </w:tc>
      </w:tr>
      <w:tr w:rsidR="00743C26" w:rsidRPr="005C680C" w14:paraId="39EB999D" w14:textId="77777777" w:rsidTr="00A46DBB">
        <w:trPr>
          <w:trHeight w:val="900"/>
        </w:trPr>
        <w:tc>
          <w:tcPr>
            <w:tcW w:w="1057" w:type="dxa"/>
            <w:tcBorders>
              <w:top w:val="nil"/>
              <w:left w:val="single" w:sz="4" w:space="0" w:color="auto"/>
              <w:bottom w:val="single" w:sz="4" w:space="0" w:color="auto"/>
              <w:right w:val="single" w:sz="4" w:space="0" w:color="auto"/>
            </w:tcBorders>
            <w:vAlign w:val="center"/>
            <w:hideMark/>
          </w:tcPr>
          <w:p w14:paraId="040583C4"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72221189</w:t>
            </w:r>
          </w:p>
        </w:tc>
        <w:tc>
          <w:tcPr>
            <w:tcW w:w="7983" w:type="dxa"/>
            <w:tcBorders>
              <w:top w:val="nil"/>
              <w:left w:val="nil"/>
              <w:bottom w:val="single" w:sz="4" w:space="0" w:color="auto"/>
              <w:right w:val="single" w:sz="4" w:space="0" w:color="auto"/>
            </w:tcBorders>
            <w:hideMark/>
          </w:tcPr>
          <w:p w14:paraId="629CA0B0"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Bars and rods of stainless steel, not further worked than hot-rolled, hot-drawn or extruded, of circular cross-section measuring &lt; 80 mm and containing by weight &lt; 2,5% nickel</w:t>
            </w:r>
          </w:p>
        </w:tc>
        <w:tc>
          <w:tcPr>
            <w:tcW w:w="1060" w:type="dxa"/>
            <w:tcBorders>
              <w:top w:val="nil"/>
              <w:left w:val="nil"/>
              <w:bottom w:val="single" w:sz="4" w:space="0" w:color="auto"/>
              <w:right w:val="single" w:sz="4" w:space="0" w:color="auto"/>
            </w:tcBorders>
            <w:hideMark/>
          </w:tcPr>
          <w:p w14:paraId="2DCD5967"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0.31</w:t>
            </w:r>
          </w:p>
        </w:tc>
      </w:tr>
      <w:tr w:rsidR="00743C26" w:rsidRPr="005C680C" w14:paraId="34A8E7DB" w14:textId="77777777" w:rsidTr="00A46DBB">
        <w:trPr>
          <w:trHeight w:val="900"/>
        </w:trPr>
        <w:tc>
          <w:tcPr>
            <w:tcW w:w="1057" w:type="dxa"/>
            <w:tcBorders>
              <w:top w:val="nil"/>
              <w:left w:val="single" w:sz="4" w:space="0" w:color="auto"/>
              <w:bottom w:val="single" w:sz="4" w:space="0" w:color="auto"/>
              <w:right w:val="single" w:sz="4" w:space="0" w:color="auto"/>
            </w:tcBorders>
            <w:vAlign w:val="center"/>
            <w:hideMark/>
          </w:tcPr>
          <w:p w14:paraId="1E70E3AB"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72221990</w:t>
            </w:r>
          </w:p>
        </w:tc>
        <w:tc>
          <w:tcPr>
            <w:tcW w:w="7983" w:type="dxa"/>
            <w:tcBorders>
              <w:top w:val="nil"/>
              <w:left w:val="nil"/>
              <w:bottom w:val="single" w:sz="4" w:space="0" w:color="auto"/>
              <w:right w:val="single" w:sz="4" w:space="0" w:color="auto"/>
            </w:tcBorders>
            <w:hideMark/>
          </w:tcPr>
          <w:p w14:paraId="6BDAE378"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Bars and rods of stainless steel, not further worked than hot-rolled, hot-drawn or extruded, containing by weight &lt; 2,5% nickel (excl. such products of circular cross-section)</w:t>
            </w:r>
          </w:p>
        </w:tc>
        <w:tc>
          <w:tcPr>
            <w:tcW w:w="1060" w:type="dxa"/>
            <w:tcBorders>
              <w:top w:val="nil"/>
              <w:left w:val="nil"/>
              <w:bottom w:val="single" w:sz="4" w:space="0" w:color="auto"/>
              <w:right w:val="single" w:sz="4" w:space="0" w:color="auto"/>
            </w:tcBorders>
            <w:hideMark/>
          </w:tcPr>
          <w:p w14:paraId="47557651"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0.35</w:t>
            </w:r>
          </w:p>
        </w:tc>
      </w:tr>
      <w:tr w:rsidR="00743C26" w:rsidRPr="005C680C" w14:paraId="52750334"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4ED37BA6"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72222011</w:t>
            </w:r>
          </w:p>
        </w:tc>
        <w:tc>
          <w:tcPr>
            <w:tcW w:w="7983" w:type="dxa"/>
            <w:tcBorders>
              <w:top w:val="nil"/>
              <w:left w:val="nil"/>
              <w:bottom w:val="single" w:sz="4" w:space="0" w:color="auto"/>
              <w:right w:val="single" w:sz="4" w:space="0" w:color="auto"/>
            </w:tcBorders>
            <w:hideMark/>
          </w:tcPr>
          <w:p w14:paraId="223B66E6"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Bars and rods of stainless steel, of circular cross-section of a diameter &gt;= 80 mm, simply cold-formed or cold-finished, containing by weight &gt;= 2,5% nickel</w:t>
            </w:r>
          </w:p>
        </w:tc>
        <w:tc>
          <w:tcPr>
            <w:tcW w:w="1060" w:type="dxa"/>
            <w:tcBorders>
              <w:top w:val="nil"/>
              <w:left w:val="nil"/>
              <w:bottom w:val="single" w:sz="4" w:space="0" w:color="auto"/>
              <w:right w:val="single" w:sz="4" w:space="0" w:color="auto"/>
            </w:tcBorders>
            <w:hideMark/>
          </w:tcPr>
          <w:p w14:paraId="5BE745FE"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0.43</w:t>
            </w:r>
          </w:p>
        </w:tc>
      </w:tr>
      <w:tr w:rsidR="0095523F" w:rsidRPr="005C680C" w14:paraId="62D1E2C8"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6E08CB3D"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72222019</w:t>
            </w:r>
          </w:p>
        </w:tc>
        <w:tc>
          <w:tcPr>
            <w:tcW w:w="7983" w:type="dxa"/>
            <w:tcBorders>
              <w:top w:val="nil"/>
              <w:left w:val="nil"/>
              <w:bottom w:val="single" w:sz="4" w:space="0" w:color="auto"/>
              <w:right w:val="single" w:sz="4" w:space="0" w:color="auto"/>
            </w:tcBorders>
            <w:hideMark/>
          </w:tcPr>
          <w:p w14:paraId="6269CBD5"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Bars and rods of stainless steel, of circular cross-section of a diameter &gt;= 80 mm, simply cold-formed or cold-finished, containing by weight &lt; 2,5% nickel</w:t>
            </w:r>
          </w:p>
        </w:tc>
        <w:tc>
          <w:tcPr>
            <w:tcW w:w="1060" w:type="dxa"/>
            <w:tcBorders>
              <w:top w:val="nil"/>
              <w:left w:val="nil"/>
              <w:bottom w:val="single" w:sz="4" w:space="0" w:color="auto"/>
              <w:right w:val="single" w:sz="4" w:space="0" w:color="auto"/>
            </w:tcBorders>
            <w:hideMark/>
          </w:tcPr>
          <w:p w14:paraId="0FBDA125"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0.53</w:t>
            </w:r>
          </w:p>
        </w:tc>
      </w:tr>
      <w:tr w:rsidR="00743C26" w:rsidRPr="005C680C" w14:paraId="4B6FC8A0" w14:textId="77777777" w:rsidTr="00A46DBB">
        <w:trPr>
          <w:trHeight w:val="900"/>
        </w:trPr>
        <w:tc>
          <w:tcPr>
            <w:tcW w:w="1057" w:type="dxa"/>
            <w:tcBorders>
              <w:top w:val="nil"/>
              <w:left w:val="single" w:sz="4" w:space="0" w:color="auto"/>
              <w:bottom w:val="single" w:sz="4" w:space="0" w:color="auto"/>
              <w:right w:val="single" w:sz="4" w:space="0" w:color="auto"/>
            </w:tcBorders>
            <w:vAlign w:val="center"/>
            <w:hideMark/>
          </w:tcPr>
          <w:p w14:paraId="20325EA4"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72222021</w:t>
            </w:r>
          </w:p>
        </w:tc>
        <w:tc>
          <w:tcPr>
            <w:tcW w:w="7983" w:type="dxa"/>
            <w:tcBorders>
              <w:top w:val="nil"/>
              <w:left w:val="nil"/>
              <w:bottom w:val="single" w:sz="4" w:space="0" w:color="auto"/>
              <w:right w:val="single" w:sz="4" w:space="0" w:color="auto"/>
            </w:tcBorders>
            <w:hideMark/>
          </w:tcPr>
          <w:p w14:paraId="47657F09"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Bars and rods of stainless steel, not further worked than cold-formed or cold-finished, of circular cross-section measuring &gt;= 25 mm but &lt; 80 mm and containing by weight &gt;= 2,5% nickel</w:t>
            </w:r>
          </w:p>
        </w:tc>
        <w:tc>
          <w:tcPr>
            <w:tcW w:w="1060" w:type="dxa"/>
            <w:tcBorders>
              <w:top w:val="nil"/>
              <w:left w:val="nil"/>
              <w:bottom w:val="single" w:sz="4" w:space="0" w:color="auto"/>
              <w:right w:val="single" w:sz="4" w:space="0" w:color="auto"/>
            </w:tcBorders>
            <w:hideMark/>
          </w:tcPr>
          <w:p w14:paraId="1BC764B9"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0.30</w:t>
            </w:r>
          </w:p>
        </w:tc>
      </w:tr>
      <w:tr w:rsidR="0095523F" w:rsidRPr="005C680C" w14:paraId="0C87160B" w14:textId="77777777" w:rsidTr="00A46DBB">
        <w:trPr>
          <w:trHeight w:val="900"/>
        </w:trPr>
        <w:tc>
          <w:tcPr>
            <w:tcW w:w="1057" w:type="dxa"/>
            <w:tcBorders>
              <w:top w:val="nil"/>
              <w:left w:val="single" w:sz="4" w:space="0" w:color="auto"/>
              <w:bottom w:val="single" w:sz="4" w:space="0" w:color="auto"/>
              <w:right w:val="single" w:sz="4" w:space="0" w:color="auto"/>
            </w:tcBorders>
            <w:vAlign w:val="center"/>
            <w:hideMark/>
          </w:tcPr>
          <w:p w14:paraId="1A707D8A"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72222029</w:t>
            </w:r>
          </w:p>
        </w:tc>
        <w:tc>
          <w:tcPr>
            <w:tcW w:w="7983" w:type="dxa"/>
            <w:tcBorders>
              <w:top w:val="nil"/>
              <w:left w:val="nil"/>
              <w:bottom w:val="single" w:sz="4" w:space="0" w:color="auto"/>
              <w:right w:val="single" w:sz="4" w:space="0" w:color="auto"/>
            </w:tcBorders>
            <w:hideMark/>
          </w:tcPr>
          <w:p w14:paraId="688CE1AF"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Bars and rods of stainless steel, not further worked than cold-formed or cold-finished, of circular cross-section measuring &gt;= 25 mm but &lt; 80 mm and containing by weight &lt; 2,5% nickel</w:t>
            </w:r>
          </w:p>
        </w:tc>
        <w:tc>
          <w:tcPr>
            <w:tcW w:w="1060" w:type="dxa"/>
            <w:tcBorders>
              <w:top w:val="nil"/>
              <w:left w:val="nil"/>
              <w:bottom w:val="single" w:sz="4" w:space="0" w:color="auto"/>
              <w:right w:val="single" w:sz="4" w:space="0" w:color="auto"/>
            </w:tcBorders>
            <w:hideMark/>
          </w:tcPr>
          <w:p w14:paraId="7FBAEC82"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0.55</w:t>
            </w:r>
          </w:p>
        </w:tc>
      </w:tr>
      <w:tr w:rsidR="00743C26" w:rsidRPr="005C680C" w14:paraId="71811141"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259B8F2D"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72222031</w:t>
            </w:r>
          </w:p>
        </w:tc>
        <w:tc>
          <w:tcPr>
            <w:tcW w:w="7983" w:type="dxa"/>
            <w:tcBorders>
              <w:top w:val="nil"/>
              <w:left w:val="nil"/>
              <w:bottom w:val="single" w:sz="4" w:space="0" w:color="auto"/>
              <w:right w:val="single" w:sz="4" w:space="0" w:color="auto"/>
            </w:tcBorders>
            <w:hideMark/>
          </w:tcPr>
          <w:p w14:paraId="5BD07994"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Bars and rods of stainless steel, not further worked than cold-formed or cold-finished, of circular cross-section measuring &lt; 25 mm and containing by weight &gt;= 2,5% nickel</w:t>
            </w:r>
          </w:p>
        </w:tc>
        <w:tc>
          <w:tcPr>
            <w:tcW w:w="1060" w:type="dxa"/>
            <w:tcBorders>
              <w:top w:val="nil"/>
              <w:left w:val="nil"/>
              <w:bottom w:val="single" w:sz="4" w:space="0" w:color="auto"/>
              <w:right w:val="single" w:sz="4" w:space="0" w:color="auto"/>
            </w:tcBorders>
            <w:hideMark/>
          </w:tcPr>
          <w:p w14:paraId="67D50080"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0.34</w:t>
            </w:r>
          </w:p>
        </w:tc>
      </w:tr>
      <w:tr w:rsidR="0095523F" w:rsidRPr="005C680C" w14:paraId="423A130E"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7F7FD3E2"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72222039</w:t>
            </w:r>
          </w:p>
        </w:tc>
        <w:tc>
          <w:tcPr>
            <w:tcW w:w="7983" w:type="dxa"/>
            <w:tcBorders>
              <w:top w:val="nil"/>
              <w:left w:val="nil"/>
              <w:bottom w:val="single" w:sz="4" w:space="0" w:color="auto"/>
              <w:right w:val="single" w:sz="4" w:space="0" w:color="auto"/>
            </w:tcBorders>
            <w:hideMark/>
          </w:tcPr>
          <w:p w14:paraId="65F08D3F"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Bars and rods of stainless steel, not further worked than cold-formed or cold-finished, of circular cross-section measuring &lt; 25 mm and containing by weight &lt; 2,5% nickel</w:t>
            </w:r>
          </w:p>
        </w:tc>
        <w:tc>
          <w:tcPr>
            <w:tcW w:w="1060" w:type="dxa"/>
            <w:tcBorders>
              <w:top w:val="nil"/>
              <w:left w:val="nil"/>
              <w:bottom w:val="single" w:sz="4" w:space="0" w:color="auto"/>
              <w:right w:val="single" w:sz="4" w:space="0" w:color="auto"/>
            </w:tcBorders>
            <w:hideMark/>
          </w:tcPr>
          <w:p w14:paraId="5867855F"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0.62</w:t>
            </w:r>
          </w:p>
        </w:tc>
      </w:tr>
      <w:tr w:rsidR="00743C26" w:rsidRPr="005C680C" w14:paraId="35234025"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0F2E6583"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72222081</w:t>
            </w:r>
          </w:p>
        </w:tc>
        <w:tc>
          <w:tcPr>
            <w:tcW w:w="7983" w:type="dxa"/>
            <w:tcBorders>
              <w:top w:val="nil"/>
              <w:left w:val="nil"/>
              <w:bottom w:val="single" w:sz="4" w:space="0" w:color="auto"/>
              <w:right w:val="single" w:sz="4" w:space="0" w:color="auto"/>
            </w:tcBorders>
            <w:hideMark/>
          </w:tcPr>
          <w:p w14:paraId="01F902B3"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Bars and rods of stainless steel, not further worked than cold-formed or cold-finished, containing by weight &gt;= 2,5% nickel (excl. such products of circular cross-section)</w:t>
            </w:r>
          </w:p>
        </w:tc>
        <w:tc>
          <w:tcPr>
            <w:tcW w:w="1060" w:type="dxa"/>
            <w:tcBorders>
              <w:top w:val="nil"/>
              <w:left w:val="nil"/>
              <w:bottom w:val="single" w:sz="4" w:space="0" w:color="auto"/>
              <w:right w:val="single" w:sz="4" w:space="0" w:color="auto"/>
            </w:tcBorders>
            <w:hideMark/>
          </w:tcPr>
          <w:p w14:paraId="48E931AB"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0.49</w:t>
            </w:r>
          </w:p>
        </w:tc>
      </w:tr>
      <w:tr w:rsidR="00743C26" w:rsidRPr="005C680C" w14:paraId="36C5D735"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24609FD0"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72222089</w:t>
            </w:r>
          </w:p>
        </w:tc>
        <w:tc>
          <w:tcPr>
            <w:tcW w:w="7983" w:type="dxa"/>
            <w:tcBorders>
              <w:top w:val="nil"/>
              <w:left w:val="nil"/>
              <w:bottom w:val="single" w:sz="4" w:space="0" w:color="auto"/>
              <w:right w:val="single" w:sz="4" w:space="0" w:color="auto"/>
            </w:tcBorders>
            <w:hideMark/>
          </w:tcPr>
          <w:p w14:paraId="29DFB645"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Bars and rods of stainless steel, not further worked than cold-formed or cold-finished, containing by weight &lt; 2,5% nickel (excl. such products of circular cross-section)</w:t>
            </w:r>
          </w:p>
        </w:tc>
        <w:tc>
          <w:tcPr>
            <w:tcW w:w="1060" w:type="dxa"/>
            <w:tcBorders>
              <w:top w:val="nil"/>
              <w:left w:val="nil"/>
              <w:bottom w:val="single" w:sz="4" w:space="0" w:color="auto"/>
              <w:right w:val="single" w:sz="4" w:space="0" w:color="auto"/>
            </w:tcBorders>
            <w:hideMark/>
          </w:tcPr>
          <w:p w14:paraId="06604864"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0.45</w:t>
            </w:r>
          </w:p>
        </w:tc>
      </w:tr>
      <w:tr w:rsidR="0095523F" w:rsidRPr="005C680C" w14:paraId="3C0C2591"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5EDDCC8A"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72224010</w:t>
            </w:r>
          </w:p>
        </w:tc>
        <w:tc>
          <w:tcPr>
            <w:tcW w:w="7983" w:type="dxa"/>
            <w:tcBorders>
              <w:top w:val="nil"/>
              <w:left w:val="nil"/>
              <w:bottom w:val="single" w:sz="4" w:space="0" w:color="auto"/>
              <w:right w:val="single" w:sz="4" w:space="0" w:color="auto"/>
            </w:tcBorders>
            <w:hideMark/>
          </w:tcPr>
          <w:p w14:paraId="7DFCC47D"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Angles, shapes and sections of stainless steel, only hot-rolled, only hot-drawn or only extruded</w:t>
            </w:r>
          </w:p>
        </w:tc>
        <w:tc>
          <w:tcPr>
            <w:tcW w:w="1060" w:type="dxa"/>
            <w:tcBorders>
              <w:top w:val="nil"/>
              <w:left w:val="nil"/>
              <w:bottom w:val="single" w:sz="4" w:space="0" w:color="auto"/>
              <w:right w:val="single" w:sz="4" w:space="0" w:color="auto"/>
            </w:tcBorders>
            <w:hideMark/>
          </w:tcPr>
          <w:p w14:paraId="650AE100"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1.47</w:t>
            </w:r>
          </w:p>
        </w:tc>
      </w:tr>
      <w:tr w:rsidR="0095523F" w:rsidRPr="005C680C" w14:paraId="0C4A30A3" w14:textId="77777777" w:rsidTr="00A46DBB">
        <w:trPr>
          <w:trHeight w:val="900"/>
        </w:trPr>
        <w:tc>
          <w:tcPr>
            <w:tcW w:w="1057" w:type="dxa"/>
            <w:tcBorders>
              <w:top w:val="nil"/>
              <w:left w:val="single" w:sz="4" w:space="0" w:color="auto"/>
              <w:bottom w:val="single" w:sz="4" w:space="0" w:color="auto"/>
              <w:right w:val="single" w:sz="4" w:space="0" w:color="auto"/>
            </w:tcBorders>
            <w:vAlign w:val="center"/>
            <w:hideMark/>
          </w:tcPr>
          <w:p w14:paraId="15D1EF78"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72224090</w:t>
            </w:r>
          </w:p>
        </w:tc>
        <w:tc>
          <w:tcPr>
            <w:tcW w:w="7983" w:type="dxa"/>
            <w:tcBorders>
              <w:top w:val="nil"/>
              <w:left w:val="nil"/>
              <w:bottom w:val="single" w:sz="4" w:space="0" w:color="auto"/>
              <w:right w:val="single" w:sz="4" w:space="0" w:color="auto"/>
            </w:tcBorders>
            <w:hideMark/>
          </w:tcPr>
          <w:p w14:paraId="31DC7A47"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Angles, shapes and sections of stainless steel, cold-formed or cold-finished and further worked, or not further worked than forged, or forged, or hot-formed by other means and further worked, n.e.s.</w:t>
            </w:r>
          </w:p>
        </w:tc>
        <w:tc>
          <w:tcPr>
            <w:tcW w:w="1060" w:type="dxa"/>
            <w:tcBorders>
              <w:top w:val="nil"/>
              <w:left w:val="nil"/>
              <w:bottom w:val="single" w:sz="4" w:space="0" w:color="auto"/>
              <w:right w:val="single" w:sz="4" w:space="0" w:color="auto"/>
            </w:tcBorders>
            <w:hideMark/>
          </w:tcPr>
          <w:p w14:paraId="724BCBA8"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4.01</w:t>
            </w:r>
          </w:p>
        </w:tc>
      </w:tr>
      <w:tr w:rsidR="0095523F" w:rsidRPr="005C680C" w14:paraId="25FDA8EC"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4AEF40F0"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72230091</w:t>
            </w:r>
          </w:p>
        </w:tc>
        <w:tc>
          <w:tcPr>
            <w:tcW w:w="7983" w:type="dxa"/>
            <w:tcBorders>
              <w:top w:val="nil"/>
              <w:left w:val="nil"/>
              <w:bottom w:val="single" w:sz="4" w:space="0" w:color="auto"/>
              <w:right w:val="single" w:sz="4" w:space="0" w:color="auto"/>
            </w:tcBorders>
            <w:hideMark/>
          </w:tcPr>
          <w:p w14:paraId="579B1EE3"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Wire of stainless steel, in coils, containing by weight &lt; 2,5% nickel, 13% to 25% chromium and 3,5% to 6% aluminium (excl. bars and rods)</w:t>
            </w:r>
          </w:p>
        </w:tc>
        <w:tc>
          <w:tcPr>
            <w:tcW w:w="1060" w:type="dxa"/>
            <w:tcBorders>
              <w:top w:val="nil"/>
              <w:left w:val="nil"/>
              <w:bottom w:val="single" w:sz="4" w:space="0" w:color="auto"/>
              <w:right w:val="single" w:sz="4" w:space="0" w:color="auto"/>
            </w:tcBorders>
            <w:hideMark/>
          </w:tcPr>
          <w:p w14:paraId="74FCD349"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0.53</w:t>
            </w:r>
          </w:p>
        </w:tc>
      </w:tr>
      <w:tr w:rsidR="00743C26" w:rsidRPr="005C680C" w14:paraId="1D0D9EA7"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706CFE65"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72251100</w:t>
            </w:r>
          </w:p>
        </w:tc>
        <w:tc>
          <w:tcPr>
            <w:tcW w:w="7983" w:type="dxa"/>
            <w:tcBorders>
              <w:top w:val="nil"/>
              <w:left w:val="nil"/>
              <w:bottom w:val="single" w:sz="4" w:space="0" w:color="auto"/>
              <w:right w:val="single" w:sz="4" w:space="0" w:color="auto"/>
            </w:tcBorders>
            <w:hideMark/>
          </w:tcPr>
          <w:p w14:paraId="2068696C"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Flat-rolled products of silicon-electrical steel, of a width of &gt;= 600 mm, grain-oriented</w:t>
            </w:r>
          </w:p>
        </w:tc>
        <w:tc>
          <w:tcPr>
            <w:tcW w:w="1060" w:type="dxa"/>
            <w:tcBorders>
              <w:top w:val="nil"/>
              <w:left w:val="nil"/>
              <w:bottom w:val="single" w:sz="4" w:space="0" w:color="auto"/>
              <w:right w:val="single" w:sz="4" w:space="0" w:color="auto"/>
            </w:tcBorders>
            <w:hideMark/>
          </w:tcPr>
          <w:p w14:paraId="60A10A1B"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0.33</w:t>
            </w:r>
          </w:p>
        </w:tc>
      </w:tr>
      <w:tr w:rsidR="0095523F" w:rsidRPr="005C680C" w14:paraId="6FF59BEA" w14:textId="77777777" w:rsidTr="00A46DBB">
        <w:trPr>
          <w:trHeight w:val="900"/>
        </w:trPr>
        <w:tc>
          <w:tcPr>
            <w:tcW w:w="1057" w:type="dxa"/>
            <w:tcBorders>
              <w:top w:val="nil"/>
              <w:left w:val="single" w:sz="4" w:space="0" w:color="auto"/>
              <w:bottom w:val="single" w:sz="4" w:space="0" w:color="auto"/>
              <w:right w:val="single" w:sz="4" w:space="0" w:color="auto"/>
            </w:tcBorders>
            <w:vAlign w:val="center"/>
            <w:hideMark/>
          </w:tcPr>
          <w:p w14:paraId="2E8C3546"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72254040</w:t>
            </w:r>
          </w:p>
        </w:tc>
        <w:tc>
          <w:tcPr>
            <w:tcW w:w="7983" w:type="dxa"/>
            <w:tcBorders>
              <w:top w:val="nil"/>
              <w:left w:val="nil"/>
              <w:bottom w:val="single" w:sz="4" w:space="0" w:color="auto"/>
              <w:right w:val="single" w:sz="4" w:space="0" w:color="auto"/>
            </w:tcBorders>
            <w:hideMark/>
          </w:tcPr>
          <w:p w14:paraId="53E498A4"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Flat-rolled products of alloy steel other than stainless, of a width of &gt;= 600 mm, not further worked than hot-rolled, not in coils, of a thickness of &gt; 10 mm (excl. products of tool steel, high-speed steel or silicon-electrical steel)</w:t>
            </w:r>
          </w:p>
        </w:tc>
        <w:tc>
          <w:tcPr>
            <w:tcW w:w="1060" w:type="dxa"/>
            <w:tcBorders>
              <w:top w:val="nil"/>
              <w:left w:val="nil"/>
              <w:bottom w:val="single" w:sz="4" w:space="0" w:color="auto"/>
              <w:right w:val="single" w:sz="4" w:space="0" w:color="auto"/>
            </w:tcBorders>
            <w:hideMark/>
          </w:tcPr>
          <w:p w14:paraId="03C0C018"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0.52</w:t>
            </w:r>
          </w:p>
        </w:tc>
      </w:tr>
      <w:tr w:rsidR="0095523F" w:rsidRPr="005C680C" w14:paraId="2927EA44" w14:textId="77777777" w:rsidTr="00A46DBB">
        <w:trPr>
          <w:trHeight w:val="900"/>
        </w:trPr>
        <w:tc>
          <w:tcPr>
            <w:tcW w:w="1057" w:type="dxa"/>
            <w:tcBorders>
              <w:top w:val="nil"/>
              <w:left w:val="single" w:sz="4" w:space="0" w:color="auto"/>
              <w:bottom w:val="single" w:sz="4" w:space="0" w:color="auto"/>
              <w:right w:val="single" w:sz="4" w:space="0" w:color="auto"/>
            </w:tcBorders>
            <w:vAlign w:val="center"/>
            <w:hideMark/>
          </w:tcPr>
          <w:p w14:paraId="5DF6ADF6"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72254060</w:t>
            </w:r>
          </w:p>
        </w:tc>
        <w:tc>
          <w:tcPr>
            <w:tcW w:w="7983" w:type="dxa"/>
            <w:tcBorders>
              <w:top w:val="nil"/>
              <w:left w:val="nil"/>
              <w:bottom w:val="single" w:sz="4" w:space="0" w:color="auto"/>
              <w:right w:val="single" w:sz="4" w:space="0" w:color="auto"/>
            </w:tcBorders>
            <w:hideMark/>
          </w:tcPr>
          <w:p w14:paraId="5B7C96E0"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Flat-rolled products of alloy steel other than stainless, of a width of &gt;= 600 mm, not further worked than hot-rolled, not in coils, of a thickness of &gt;= 4,75 mm but &lt;= 10 mm (excl. products of tool steel, high-speed steel or silicon-electrical steel)</w:t>
            </w:r>
          </w:p>
        </w:tc>
        <w:tc>
          <w:tcPr>
            <w:tcW w:w="1060" w:type="dxa"/>
            <w:tcBorders>
              <w:top w:val="nil"/>
              <w:left w:val="nil"/>
              <w:bottom w:val="single" w:sz="4" w:space="0" w:color="auto"/>
              <w:right w:val="single" w:sz="4" w:space="0" w:color="auto"/>
            </w:tcBorders>
            <w:hideMark/>
          </w:tcPr>
          <w:p w14:paraId="55B4E76A"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0.55</w:t>
            </w:r>
          </w:p>
        </w:tc>
      </w:tr>
      <w:tr w:rsidR="00743C26" w:rsidRPr="005C680C" w14:paraId="41E7FB2B" w14:textId="77777777" w:rsidTr="00A46DBB">
        <w:trPr>
          <w:trHeight w:val="900"/>
        </w:trPr>
        <w:tc>
          <w:tcPr>
            <w:tcW w:w="1057" w:type="dxa"/>
            <w:tcBorders>
              <w:top w:val="nil"/>
              <w:left w:val="single" w:sz="4" w:space="0" w:color="auto"/>
              <w:bottom w:val="single" w:sz="4" w:space="0" w:color="auto"/>
              <w:right w:val="single" w:sz="4" w:space="0" w:color="auto"/>
            </w:tcBorders>
            <w:vAlign w:val="center"/>
            <w:hideMark/>
          </w:tcPr>
          <w:p w14:paraId="6D7C56AE"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72254090</w:t>
            </w:r>
          </w:p>
        </w:tc>
        <w:tc>
          <w:tcPr>
            <w:tcW w:w="7983" w:type="dxa"/>
            <w:tcBorders>
              <w:top w:val="nil"/>
              <w:left w:val="nil"/>
              <w:bottom w:val="single" w:sz="4" w:space="0" w:color="auto"/>
              <w:right w:val="single" w:sz="4" w:space="0" w:color="auto"/>
            </w:tcBorders>
            <w:hideMark/>
          </w:tcPr>
          <w:p w14:paraId="56163CCF"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Flat-rolled products of alloy steel other than stainless, of a width of &gt;= 600 mm, not further worked than hot-rolled, not in coils, of a thickness of &lt; 4,75 mm (excl. products of tool steel, high-speed steel or silicon-electrical steel)</w:t>
            </w:r>
          </w:p>
        </w:tc>
        <w:tc>
          <w:tcPr>
            <w:tcW w:w="1060" w:type="dxa"/>
            <w:tcBorders>
              <w:top w:val="nil"/>
              <w:left w:val="nil"/>
              <w:bottom w:val="single" w:sz="4" w:space="0" w:color="auto"/>
              <w:right w:val="single" w:sz="4" w:space="0" w:color="auto"/>
            </w:tcBorders>
            <w:hideMark/>
          </w:tcPr>
          <w:p w14:paraId="2E27A4BF"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0.34</w:t>
            </w:r>
          </w:p>
        </w:tc>
      </w:tr>
      <w:tr w:rsidR="00E435B4" w:rsidRPr="005C680C" w14:paraId="5C188DBD"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7B9B7AE8"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72255020</w:t>
            </w:r>
          </w:p>
        </w:tc>
        <w:tc>
          <w:tcPr>
            <w:tcW w:w="7983" w:type="dxa"/>
            <w:tcBorders>
              <w:top w:val="nil"/>
              <w:left w:val="nil"/>
              <w:bottom w:val="single" w:sz="4" w:space="0" w:color="auto"/>
              <w:right w:val="single" w:sz="4" w:space="0" w:color="auto"/>
            </w:tcBorders>
            <w:hideMark/>
          </w:tcPr>
          <w:p w14:paraId="16C711C4"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Flat-rolled products of high-speed steel, of a width of &gt;= 600 mm, not further worked than cold-rolled "cold-reduced"</w:t>
            </w:r>
          </w:p>
        </w:tc>
        <w:tc>
          <w:tcPr>
            <w:tcW w:w="1060" w:type="dxa"/>
            <w:tcBorders>
              <w:top w:val="nil"/>
              <w:left w:val="nil"/>
              <w:bottom w:val="single" w:sz="4" w:space="0" w:color="auto"/>
              <w:right w:val="single" w:sz="4" w:space="0" w:color="auto"/>
            </w:tcBorders>
            <w:hideMark/>
          </w:tcPr>
          <w:p w14:paraId="6E014CDD"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1.07</w:t>
            </w:r>
          </w:p>
        </w:tc>
      </w:tr>
      <w:tr w:rsidR="00743C26" w:rsidRPr="005C680C" w14:paraId="62725107" w14:textId="77777777" w:rsidTr="00A46DBB">
        <w:trPr>
          <w:trHeight w:val="900"/>
        </w:trPr>
        <w:tc>
          <w:tcPr>
            <w:tcW w:w="1057" w:type="dxa"/>
            <w:tcBorders>
              <w:top w:val="nil"/>
              <w:left w:val="single" w:sz="4" w:space="0" w:color="auto"/>
              <w:bottom w:val="single" w:sz="4" w:space="0" w:color="auto"/>
              <w:right w:val="single" w:sz="4" w:space="0" w:color="auto"/>
            </w:tcBorders>
            <w:vAlign w:val="center"/>
            <w:hideMark/>
          </w:tcPr>
          <w:p w14:paraId="5A0DCF65"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72255080</w:t>
            </w:r>
          </w:p>
        </w:tc>
        <w:tc>
          <w:tcPr>
            <w:tcW w:w="7983" w:type="dxa"/>
            <w:tcBorders>
              <w:top w:val="nil"/>
              <w:left w:val="nil"/>
              <w:bottom w:val="single" w:sz="4" w:space="0" w:color="auto"/>
              <w:right w:val="single" w:sz="4" w:space="0" w:color="auto"/>
            </w:tcBorders>
            <w:hideMark/>
          </w:tcPr>
          <w:p w14:paraId="5EDA4D6D"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Flat-rolled products of alloy steel other than stainless, of a width of &gt;= 600 mm, not further worked than cold-rolled "cold-reduced" (excl. products of high-speed steel or silicon-electrical steel)</w:t>
            </w:r>
          </w:p>
        </w:tc>
        <w:tc>
          <w:tcPr>
            <w:tcW w:w="1060" w:type="dxa"/>
            <w:tcBorders>
              <w:top w:val="nil"/>
              <w:left w:val="nil"/>
              <w:bottom w:val="single" w:sz="4" w:space="0" w:color="auto"/>
              <w:right w:val="single" w:sz="4" w:space="0" w:color="auto"/>
            </w:tcBorders>
            <w:hideMark/>
          </w:tcPr>
          <w:p w14:paraId="77D93279"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0.32</w:t>
            </w:r>
          </w:p>
        </w:tc>
      </w:tr>
      <w:tr w:rsidR="00E435B4" w:rsidRPr="005C680C" w14:paraId="3FE30848" w14:textId="77777777" w:rsidTr="00A46DBB">
        <w:trPr>
          <w:trHeight w:val="900"/>
        </w:trPr>
        <w:tc>
          <w:tcPr>
            <w:tcW w:w="1057" w:type="dxa"/>
            <w:tcBorders>
              <w:top w:val="nil"/>
              <w:left w:val="single" w:sz="4" w:space="0" w:color="auto"/>
              <w:bottom w:val="single" w:sz="4" w:space="0" w:color="auto"/>
              <w:right w:val="single" w:sz="4" w:space="0" w:color="auto"/>
            </w:tcBorders>
            <w:vAlign w:val="center"/>
            <w:hideMark/>
          </w:tcPr>
          <w:p w14:paraId="569B6A29"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72259900</w:t>
            </w:r>
          </w:p>
        </w:tc>
        <w:tc>
          <w:tcPr>
            <w:tcW w:w="7983" w:type="dxa"/>
            <w:tcBorders>
              <w:top w:val="nil"/>
              <w:left w:val="nil"/>
              <w:bottom w:val="single" w:sz="4" w:space="0" w:color="auto"/>
              <w:right w:val="single" w:sz="4" w:space="0" w:color="auto"/>
            </w:tcBorders>
            <w:hideMark/>
          </w:tcPr>
          <w:p w14:paraId="234480F6"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Flat-rolled products of alloy steel other than stainless, of a width of &gt;= 600 mm, hot-rolled or cold-rolled "cold-reduced" and further worked (excl. plated or coated with zinc and products of silicon-electrical steel)</w:t>
            </w:r>
          </w:p>
        </w:tc>
        <w:tc>
          <w:tcPr>
            <w:tcW w:w="1060" w:type="dxa"/>
            <w:tcBorders>
              <w:top w:val="nil"/>
              <w:left w:val="nil"/>
              <w:bottom w:val="single" w:sz="4" w:space="0" w:color="auto"/>
              <w:right w:val="single" w:sz="4" w:space="0" w:color="auto"/>
            </w:tcBorders>
            <w:hideMark/>
          </w:tcPr>
          <w:p w14:paraId="16141D95"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0.81</w:t>
            </w:r>
          </w:p>
        </w:tc>
      </w:tr>
      <w:tr w:rsidR="00E435B4" w:rsidRPr="005C680C" w14:paraId="05D387EF"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7FEF8FE0"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72261100</w:t>
            </w:r>
          </w:p>
        </w:tc>
        <w:tc>
          <w:tcPr>
            <w:tcW w:w="7983" w:type="dxa"/>
            <w:tcBorders>
              <w:top w:val="nil"/>
              <w:left w:val="nil"/>
              <w:bottom w:val="single" w:sz="4" w:space="0" w:color="auto"/>
              <w:right w:val="single" w:sz="4" w:space="0" w:color="auto"/>
            </w:tcBorders>
            <w:hideMark/>
          </w:tcPr>
          <w:p w14:paraId="246F924B"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Flat-rolled products of silicon-electrical steel, of a width of &lt; 600 mm, hot-rolled or cold-rolled "cold-reduced", grain-oriented</w:t>
            </w:r>
          </w:p>
        </w:tc>
        <w:tc>
          <w:tcPr>
            <w:tcW w:w="1060" w:type="dxa"/>
            <w:tcBorders>
              <w:top w:val="nil"/>
              <w:left w:val="nil"/>
              <w:bottom w:val="single" w:sz="4" w:space="0" w:color="auto"/>
              <w:right w:val="single" w:sz="4" w:space="0" w:color="auto"/>
            </w:tcBorders>
            <w:hideMark/>
          </w:tcPr>
          <w:p w14:paraId="674BFBEB"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0.54</w:t>
            </w:r>
          </w:p>
        </w:tc>
      </w:tr>
      <w:tr w:rsidR="00743C26" w:rsidRPr="005C680C" w14:paraId="33F51CC7"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1A049B62"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72262000</w:t>
            </w:r>
          </w:p>
        </w:tc>
        <w:tc>
          <w:tcPr>
            <w:tcW w:w="7983" w:type="dxa"/>
            <w:tcBorders>
              <w:top w:val="nil"/>
              <w:left w:val="nil"/>
              <w:bottom w:val="single" w:sz="4" w:space="0" w:color="auto"/>
              <w:right w:val="single" w:sz="4" w:space="0" w:color="auto"/>
            </w:tcBorders>
            <w:hideMark/>
          </w:tcPr>
          <w:p w14:paraId="3DC9AC75"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Flat-rolled products of high-speed steel, of a width of &lt;= 600 mm, hot-rolled or cold-rolled "cold-reduced"</w:t>
            </w:r>
          </w:p>
        </w:tc>
        <w:tc>
          <w:tcPr>
            <w:tcW w:w="1060" w:type="dxa"/>
            <w:tcBorders>
              <w:top w:val="nil"/>
              <w:left w:val="nil"/>
              <w:bottom w:val="single" w:sz="4" w:space="0" w:color="auto"/>
              <w:right w:val="single" w:sz="4" w:space="0" w:color="auto"/>
            </w:tcBorders>
            <w:hideMark/>
          </w:tcPr>
          <w:p w14:paraId="7CE9E4A2"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0.34</w:t>
            </w:r>
          </w:p>
        </w:tc>
      </w:tr>
      <w:tr w:rsidR="00743C26" w:rsidRPr="005C680C" w14:paraId="011E0119" w14:textId="77777777" w:rsidTr="00A46DBB">
        <w:trPr>
          <w:trHeight w:val="1200"/>
        </w:trPr>
        <w:tc>
          <w:tcPr>
            <w:tcW w:w="1057" w:type="dxa"/>
            <w:tcBorders>
              <w:top w:val="nil"/>
              <w:left w:val="single" w:sz="4" w:space="0" w:color="auto"/>
              <w:bottom w:val="single" w:sz="4" w:space="0" w:color="auto"/>
              <w:right w:val="single" w:sz="4" w:space="0" w:color="auto"/>
            </w:tcBorders>
            <w:vAlign w:val="center"/>
            <w:hideMark/>
          </w:tcPr>
          <w:p w14:paraId="5D5DD6EF"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72281090</w:t>
            </w:r>
          </w:p>
        </w:tc>
        <w:tc>
          <w:tcPr>
            <w:tcW w:w="7983" w:type="dxa"/>
            <w:tcBorders>
              <w:top w:val="nil"/>
              <w:left w:val="nil"/>
              <w:bottom w:val="single" w:sz="4" w:space="0" w:color="auto"/>
              <w:right w:val="single" w:sz="4" w:space="0" w:color="auto"/>
            </w:tcBorders>
            <w:hideMark/>
          </w:tcPr>
          <w:p w14:paraId="740B6417"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Bars and rods of high-speed steel, not further worked than cold-formed or cold-finished, whether or not further worked, or hot-formed and further worked (excl. forged products, semi-finished products, flat-rolled products and hot-rolled bars and rods in irregularly wound coils)</w:t>
            </w:r>
          </w:p>
        </w:tc>
        <w:tc>
          <w:tcPr>
            <w:tcW w:w="1060" w:type="dxa"/>
            <w:tcBorders>
              <w:top w:val="nil"/>
              <w:left w:val="nil"/>
              <w:bottom w:val="single" w:sz="4" w:space="0" w:color="auto"/>
              <w:right w:val="single" w:sz="4" w:space="0" w:color="auto"/>
            </w:tcBorders>
            <w:hideMark/>
          </w:tcPr>
          <w:p w14:paraId="740BBB51"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0.39</w:t>
            </w:r>
          </w:p>
        </w:tc>
      </w:tr>
      <w:tr w:rsidR="00743C26" w:rsidRPr="005C680C" w14:paraId="56026B14" w14:textId="77777777" w:rsidTr="00A46DBB">
        <w:trPr>
          <w:trHeight w:val="1500"/>
        </w:trPr>
        <w:tc>
          <w:tcPr>
            <w:tcW w:w="1057" w:type="dxa"/>
            <w:tcBorders>
              <w:top w:val="nil"/>
              <w:left w:val="single" w:sz="4" w:space="0" w:color="auto"/>
              <w:bottom w:val="single" w:sz="4" w:space="0" w:color="auto"/>
              <w:right w:val="single" w:sz="4" w:space="0" w:color="auto"/>
            </w:tcBorders>
            <w:vAlign w:val="center"/>
            <w:hideMark/>
          </w:tcPr>
          <w:p w14:paraId="771CDA7F"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72282099</w:t>
            </w:r>
          </w:p>
        </w:tc>
        <w:tc>
          <w:tcPr>
            <w:tcW w:w="7983" w:type="dxa"/>
            <w:tcBorders>
              <w:top w:val="nil"/>
              <w:left w:val="nil"/>
              <w:bottom w:val="single" w:sz="4" w:space="0" w:color="auto"/>
              <w:right w:val="single" w:sz="4" w:space="0" w:color="auto"/>
            </w:tcBorders>
            <w:hideMark/>
          </w:tcPr>
          <w:p w14:paraId="28F71FBE"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Bars and rods of silico-manganese stee, of square or other than rectangular cross-section, only cold-formed or cold-finished, incl. further worked, or hot-rolled and further worked (excl. hot-rolled, hot drawn or extruded, not further worked than clad, semi-finished products, flat-rolled products and hot-rolled bars and rods in irregularly wound coils)</w:t>
            </w:r>
          </w:p>
        </w:tc>
        <w:tc>
          <w:tcPr>
            <w:tcW w:w="1060" w:type="dxa"/>
            <w:tcBorders>
              <w:top w:val="nil"/>
              <w:left w:val="nil"/>
              <w:bottom w:val="single" w:sz="4" w:space="0" w:color="auto"/>
              <w:right w:val="single" w:sz="4" w:space="0" w:color="auto"/>
            </w:tcBorders>
            <w:hideMark/>
          </w:tcPr>
          <w:p w14:paraId="2B8986BB"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0.35</w:t>
            </w:r>
          </w:p>
        </w:tc>
      </w:tr>
      <w:tr w:rsidR="00E435B4" w:rsidRPr="005C680C" w14:paraId="2E6C7F52" w14:textId="77777777" w:rsidTr="00A46DBB">
        <w:trPr>
          <w:trHeight w:val="900"/>
        </w:trPr>
        <w:tc>
          <w:tcPr>
            <w:tcW w:w="1057" w:type="dxa"/>
            <w:tcBorders>
              <w:top w:val="nil"/>
              <w:left w:val="single" w:sz="4" w:space="0" w:color="auto"/>
              <w:bottom w:val="single" w:sz="4" w:space="0" w:color="auto"/>
              <w:right w:val="single" w:sz="4" w:space="0" w:color="auto"/>
            </w:tcBorders>
            <w:vAlign w:val="center"/>
            <w:hideMark/>
          </w:tcPr>
          <w:p w14:paraId="35D2D27B"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72283020</w:t>
            </w:r>
          </w:p>
        </w:tc>
        <w:tc>
          <w:tcPr>
            <w:tcW w:w="7983" w:type="dxa"/>
            <w:tcBorders>
              <w:top w:val="nil"/>
              <w:left w:val="nil"/>
              <w:bottom w:val="single" w:sz="4" w:space="0" w:color="auto"/>
              <w:right w:val="single" w:sz="4" w:space="0" w:color="auto"/>
            </w:tcBorders>
            <w:hideMark/>
          </w:tcPr>
          <w:p w14:paraId="73E187F4"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Bars and rods of tool steel, only hot-rolled, only hot-drawn or only extruded (excl. semi-finished products, flat-rolled products and hot-rolled bars and rods in irregularly wound coils)</w:t>
            </w:r>
          </w:p>
        </w:tc>
        <w:tc>
          <w:tcPr>
            <w:tcW w:w="1060" w:type="dxa"/>
            <w:tcBorders>
              <w:top w:val="nil"/>
              <w:left w:val="nil"/>
              <w:bottom w:val="single" w:sz="4" w:space="0" w:color="auto"/>
              <w:right w:val="single" w:sz="4" w:space="0" w:color="auto"/>
            </w:tcBorders>
            <w:hideMark/>
          </w:tcPr>
          <w:p w14:paraId="2E29A297"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0.52</w:t>
            </w:r>
          </w:p>
        </w:tc>
      </w:tr>
      <w:tr w:rsidR="00E435B4" w:rsidRPr="005C680C" w14:paraId="61F95AE3"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0F7A7B80"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72284010</w:t>
            </w:r>
          </w:p>
        </w:tc>
        <w:tc>
          <w:tcPr>
            <w:tcW w:w="7983" w:type="dxa"/>
            <w:tcBorders>
              <w:top w:val="nil"/>
              <w:left w:val="nil"/>
              <w:bottom w:val="single" w:sz="4" w:space="0" w:color="auto"/>
              <w:right w:val="single" w:sz="4" w:space="0" w:color="auto"/>
            </w:tcBorders>
            <w:hideMark/>
          </w:tcPr>
          <w:p w14:paraId="68E0A2F5"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Bars and rods of tool steel, only forged (excl. semi-finished products, flat-rolled products and hot-rolled bars and rods in irregularly wound coils)</w:t>
            </w:r>
          </w:p>
        </w:tc>
        <w:tc>
          <w:tcPr>
            <w:tcW w:w="1060" w:type="dxa"/>
            <w:tcBorders>
              <w:top w:val="nil"/>
              <w:left w:val="nil"/>
              <w:bottom w:val="single" w:sz="4" w:space="0" w:color="auto"/>
              <w:right w:val="single" w:sz="4" w:space="0" w:color="auto"/>
            </w:tcBorders>
            <w:hideMark/>
          </w:tcPr>
          <w:p w14:paraId="0CD87975"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0.67</w:t>
            </w:r>
          </w:p>
        </w:tc>
      </w:tr>
      <w:tr w:rsidR="00E435B4" w:rsidRPr="005C680C" w14:paraId="47F8A9C0"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216C9126"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72285020</w:t>
            </w:r>
          </w:p>
        </w:tc>
        <w:tc>
          <w:tcPr>
            <w:tcW w:w="7983" w:type="dxa"/>
            <w:tcBorders>
              <w:top w:val="nil"/>
              <w:left w:val="nil"/>
              <w:bottom w:val="single" w:sz="4" w:space="0" w:color="auto"/>
              <w:right w:val="single" w:sz="4" w:space="0" w:color="auto"/>
            </w:tcBorders>
            <w:hideMark/>
          </w:tcPr>
          <w:p w14:paraId="5D09295B"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Bars and rods of tool steel, only cold-formed or cold-finished (excl. semi-finished products, flat-rolled products and hot-rolled bars and rods in irregularly wound coils)</w:t>
            </w:r>
          </w:p>
        </w:tc>
        <w:tc>
          <w:tcPr>
            <w:tcW w:w="1060" w:type="dxa"/>
            <w:tcBorders>
              <w:top w:val="nil"/>
              <w:left w:val="nil"/>
              <w:bottom w:val="single" w:sz="4" w:space="0" w:color="auto"/>
              <w:right w:val="single" w:sz="4" w:space="0" w:color="auto"/>
            </w:tcBorders>
            <w:hideMark/>
          </w:tcPr>
          <w:p w14:paraId="43847DFF"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1.19</w:t>
            </w:r>
          </w:p>
        </w:tc>
      </w:tr>
      <w:tr w:rsidR="00743C26" w:rsidRPr="005C680C" w14:paraId="14EF80DA" w14:textId="77777777" w:rsidTr="00A46DBB">
        <w:trPr>
          <w:trHeight w:val="1500"/>
        </w:trPr>
        <w:tc>
          <w:tcPr>
            <w:tcW w:w="1057" w:type="dxa"/>
            <w:tcBorders>
              <w:top w:val="nil"/>
              <w:left w:val="single" w:sz="4" w:space="0" w:color="auto"/>
              <w:bottom w:val="single" w:sz="4" w:space="0" w:color="auto"/>
              <w:right w:val="single" w:sz="4" w:space="0" w:color="auto"/>
            </w:tcBorders>
            <w:vAlign w:val="center"/>
            <w:hideMark/>
          </w:tcPr>
          <w:p w14:paraId="26CB5576"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72285069</w:t>
            </w:r>
          </w:p>
        </w:tc>
        <w:tc>
          <w:tcPr>
            <w:tcW w:w="7983" w:type="dxa"/>
            <w:tcBorders>
              <w:top w:val="nil"/>
              <w:left w:val="nil"/>
              <w:bottom w:val="single" w:sz="4" w:space="0" w:color="auto"/>
              <w:right w:val="single" w:sz="4" w:space="0" w:color="auto"/>
            </w:tcBorders>
            <w:hideMark/>
          </w:tcPr>
          <w:p w14:paraId="619A5121"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Bars and rods of alloy steel, other than stainless steel, not further worked than cold-formed or cold-finished, of circular cross-section, of a diameter of &lt; 80 mm (excl. of high-speed steel, silico-manganese steel, tool steel, articles of subheading 7228.50.40, semi-finished products, flat-rolled products and hot-rolled bars and rods in irregularly wound coils)</w:t>
            </w:r>
          </w:p>
        </w:tc>
        <w:tc>
          <w:tcPr>
            <w:tcW w:w="1060" w:type="dxa"/>
            <w:tcBorders>
              <w:top w:val="nil"/>
              <w:left w:val="nil"/>
              <w:bottom w:val="single" w:sz="4" w:space="0" w:color="auto"/>
              <w:right w:val="single" w:sz="4" w:space="0" w:color="auto"/>
            </w:tcBorders>
            <w:hideMark/>
          </w:tcPr>
          <w:p w14:paraId="782740D7"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0.36</w:t>
            </w:r>
          </w:p>
        </w:tc>
      </w:tr>
      <w:tr w:rsidR="00743C26" w:rsidRPr="005C680C" w14:paraId="2189888A" w14:textId="77777777" w:rsidTr="00A46DBB">
        <w:trPr>
          <w:trHeight w:val="1200"/>
        </w:trPr>
        <w:tc>
          <w:tcPr>
            <w:tcW w:w="1057" w:type="dxa"/>
            <w:tcBorders>
              <w:top w:val="nil"/>
              <w:left w:val="single" w:sz="4" w:space="0" w:color="auto"/>
              <w:bottom w:val="single" w:sz="4" w:space="0" w:color="auto"/>
              <w:right w:val="single" w:sz="4" w:space="0" w:color="auto"/>
            </w:tcBorders>
            <w:vAlign w:val="center"/>
            <w:hideMark/>
          </w:tcPr>
          <w:p w14:paraId="432EF1B4"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72285080</w:t>
            </w:r>
          </w:p>
        </w:tc>
        <w:tc>
          <w:tcPr>
            <w:tcW w:w="7983" w:type="dxa"/>
            <w:tcBorders>
              <w:top w:val="nil"/>
              <w:left w:val="nil"/>
              <w:bottom w:val="single" w:sz="4" w:space="0" w:color="auto"/>
              <w:right w:val="single" w:sz="4" w:space="0" w:color="auto"/>
            </w:tcBorders>
            <w:hideMark/>
          </w:tcPr>
          <w:p w14:paraId="7AFB5D4E"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Bars and rods of alloy steel, other than stainless steel, not further worked than cold-formed or cold-finished (excl. of circular cross-section and products of high-speed steel, silico-manganese steel, tool steel, articles of subheading 7228.50.40, semi-finished products, flat-rolled products and hot-rolled bars and rods in irregularly wound coils)</w:t>
            </w:r>
          </w:p>
        </w:tc>
        <w:tc>
          <w:tcPr>
            <w:tcW w:w="1060" w:type="dxa"/>
            <w:tcBorders>
              <w:top w:val="nil"/>
              <w:left w:val="nil"/>
              <w:bottom w:val="single" w:sz="4" w:space="0" w:color="auto"/>
              <w:right w:val="single" w:sz="4" w:space="0" w:color="auto"/>
            </w:tcBorders>
            <w:hideMark/>
          </w:tcPr>
          <w:p w14:paraId="18376E27"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0.31</w:t>
            </w:r>
          </w:p>
        </w:tc>
      </w:tr>
      <w:tr w:rsidR="00743C26" w:rsidRPr="005C680C" w14:paraId="35ADEF5A"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3447DCB7"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72299050</w:t>
            </w:r>
          </w:p>
        </w:tc>
        <w:tc>
          <w:tcPr>
            <w:tcW w:w="7983" w:type="dxa"/>
            <w:tcBorders>
              <w:top w:val="nil"/>
              <w:left w:val="nil"/>
              <w:bottom w:val="single" w:sz="4" w:space="0" w:color="auto"/>
              <w:right w:val="single" w:sz="4" w:space="0" w:color="auto"/>
            </w:tcBorders>
            <w:hideMark/>
          </w:tcPr>
          <w:p w14:paraId="43EB365E"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Wire of steel containing by weight 0,9% to 1,1% of carbon, 0,5% to 2% of chromium and, if present, &lt;= 0,5% of molybdenum, in coils (excl. rolled bars and rods)</w:t>
            </w:r>
          </w:p>
        </w:tc>
        <w:tc>
          <w:tcPr>
            <w:tcW w:w="1060" w:type="dxa"/>
            <w:tcBorders>
              <w:top w:val="nil"/>
              <w:left w:val="nil"/>
              <w:bottom w:val="single" w:sz="4" w:space="0" w:color="auto"/>
              <w:right w:val="single" w:sz="4" w:space="0" w:color="auto"/>
            </w:tcBorders>
            <w:hideMark/>
          </w:tcPr>
          <w:p w14:paraId="31917E7A"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0.34</w:t>
            </w:r>
          </w:p>
        </w:tc>
      </w:tr>
      <w:tr w:rsidR="00E435B4" w:rsidRPr="005C680C" w14:paraId="5B9601F5"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6CC43226"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73011000</w:t>
            </w:r>
          </w:p>
        </w:tc>
        <w:tc>
          <w:tcPr>
            <w:tcW w:w="7983" w:type="dxa"/>
            <w:tcBorders>
              <w:top w:val="nil"/>
              <w:left w:val="nil"/>
              <w:bottom w:val="single" w:sz="4" w:space="0" w:color="auto"/>
              <w:right w:val="single" w:sz="4" w:space="0" w:color="auto"/>
            </w:tcBorders>
            <w:hideMark/>
          </w:tcPr>
          <w:p w14:paraId="3DC4CF92"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Sheet piling of iron or steel, whether or not drilled, punched or made from assembled elements</w:t>
            </w:r>
          </w:p>
        </w:tc>
        <w:tc>
          <w:tcPr>
            <w:tcW w:w="1060" w:type="dxa"/>
            <w:tcBorders>
              <w:top w:val="nil"/>
              <w:left w:val="nil"/>
              <w:bottom w:val="single" w:sz="4" w:space="0" w:color="auto"/>
              <w:right w:val="single" w:sz="4" w:space="0" w:color="auto"/>
            </w:tcBorders>
            <w:hideMark/>
          </w:tcPr>
          <w:p w14:paraId="425BDFF1"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1.05</w:t>
            </w:r>
          </w:p>
        </w:tc>
      </w:tr>
      <w:tr w:rsidR="00E435B4" w:rsidRPr="005C680C" w14:paraId="66AEA836"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0F577FE0"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73041910</w:t>
            </w:r>
          </w:p>
        </w:tc>
        <w:tc>
          <w:tcPr>
            <w:tcW w:w="7983" w:type="dxa"/>
            <w:tcBorders>
              <w:top w:val="nil"/>
              <w:left w:val="nil"/>
              <w:bottom w:val="single" w:sz="4" w:space="0" w:color="auto"/>
              <w:right w:val="single" w:sz="4" w:space="0" w:color="auto"/>
            </w:tcBorders>
            <w:hideMark/>
          </w:tcPr>
          <w:p w14:paraId="2AD16348"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Line pipe of a kind used for oil or gas pipelines, seamless, of iron or steel, of an external diameter of &lt;= 168,3 mm (excl. products of stainless steel or of cast iron)</w:t>
            </w:r>
          </w:p>
        </w:tc>
        <w:tc>
          <w:tcPr>
            <w:tcW w:w="1060" w:type="dxa"/>
            <w:tcBorders>
              <w:top w:val="nil"/>
              <w:left w:val="nil"/>
              <w:bottom w:val="single" w:sz="4" w:space="0" w:color="auto"/>
              <w:right w:val="single" w:sz="4" w:space="0" w:color="auto"/>
            </w:tcBorders>
            <w:hideMark/>
          </w:tcPr>
          <w:p w14:paraId="3DDA8FC2"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0.81</w:t>
            </w:r>
          </w:p>
        </w:tc>
      </w:tr>
      <w:tr w:rsidR="00E435B4" w:rsidRPr="005C680C" w14:paraId="474679FB" w14:textId="77777777" w:rsidTr="00A46DBB">
        <w:trPr>
          <w:trHeight w:val="900"/>
        </w:trPr>
        <w:tc>
          <w:tcPr>
            <w:tcW w:w="1057" w:type="dxa"/>
            <w:tcBorders>
              <w:top w:val="nil"/>
              <w:left w:val="single" w:sz="4" w:space="0" w:color="auto"/>
              <w:bottom w:val="single" w:sz="4" w:space="0" w:color="auto"/>
              <w:right w:val="single" w:sz="4" w:space="0" w:color="auto"/>
            </w:tcBorders>
            <w:vAlign w:val="center"/>
            <w:hideMark/>
          </w:tcPr>
          <w:p w14:paraId="4CE5767D"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73041930</w:t>
            </w:r>
          </w:p>
        </w:tc>
        <w:tc>
          <w:tcPr>
            <w:tcW w:w="7983" w:type="dxa"/>
            <w:tcBorders>
              <w:top w:val="nil"/>
              <w:left w:val="nil"/>
              <w:bottom w:val="single" w:sz="4" w:space="0" w:color="auto"/>
              <w:right w:val="single" w:sz="4" w:space="0" w:color="auto"/>
            </w:tcBorders>
            <w:hideMark/>
          </w:tcPr>
          <w:p w14:paraId="19FF7C2B"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Line pipe of a kind used for oil or gas pipelines, seamless, of iron or steel, of an external diameter of &gt; 168,3 mm but &lt;= 406,4 mm (excl. products of stainless steel or of cast iron)</w:t>
            </w:r>
          </w:p>
        </w:tc>
        <w:tc>
          <w:tcPr>
            <w:tcW w:w="1060" w:type="dxa"/>
            <w:tcBorders>
              <w:top w:val="nil"/>
              <w:left w:val="nil"/>
              <w:bottom w:val="single" w:sz="4" w:space="0" w:color="auto"/>
              <w:right w:val="single" w:sz="4" w:space="0" w:color="auto"/>
            </w:tcBorders>
            <w:hideMark/>
          </w:tcPr>
          <w:p w14:paraId="794B4087"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0.91</w:t>
            </w:r>
          </w:p>
        </w:tc>
      </w:tr>
      <w:tr w:rsidR="00E435B4" w:rsidRPr="005C680C" w14:paraId="20B97342"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706DC3FA"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73041990</w:t>
            </w:r>
          </w:p>
        </w:tc>
        <w:tc>
          <w:tcPr>
            <w:tcW w:w="7983" w:type="dxa"/>
            <w:tcBorders>
              <w:top w:val="nil"/>
              <w:left w:val="nil"/>
              <w:bottom w:val="single" w:sz="4" w:space="0" w:color="auto"/>
              <w:right w:val="single" w:sz="4" w:space="0" w:color="auto"/>
            </w:tcBorders>
            <w:hideMark/>
          </w:tcPr>
          <w:p w14:paraId="3E0442DC"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Line pipe of a kind used for oil or gas pipelines, seamless, of iron or steel, of an external diameter of &gt; 406,4 mm (excl. products of stainless steel or of cast iron)</w:t>
            </w:r>
          </w:p>
        </w:tc>
        <w:tc>
          <w:tcPr>
            <w:tcW w:w="1060" w:type="dxa"/>
            <w:tcBorders>
              <w:top w:val="nil"/>
              <w:left w:val="nil"/>
              <w:bottom w:val="single" w:sz="4" w:space="0" w:color="auto"/>
              <w:right w:val="single" w:sz="4" w:space="0" w:color="auto"/>
            </w:tcBorders>
            <w:hideMark/>
          </w:tcPr>
          <w:p w14:paraId="4485C145"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0.68</w:t>
            </w:r>
          </w:p>
        </w:tc>
      </w:tr>
      <w:tr w:rsidR="00E435B4" w:rsidRPr="005C680C" w14:paraId="613F5119"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714B9749"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73042200</w:t>
            </w:r>
          </w:p>
        </w:tc>
        <w:tc>
          <w:tcPr>
            <w:tcW w:w="7983" w:type="dxa"/>
            <w:tcBorders>
              <w:top w:val="nil"/>
              <w:left w:val="nil"/>
              <w:bottom w:val="single" w:sz="4" w:space="0" w:color="auto"/>
              <w:right w:val="single" w:sz="4" w:space="0" w:color="auto"/>
            </w:tcBorders>
            <w:hideMark/>
          </w:tcPr>
          <w:p w14:paraId="7BF7B205"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Drill pipe, seamless, of stainless steel, of a kind used in drilling for oil or gas</w:t>
            </w:r>
          </w:p>
        </w:tc>
        <w:tc>
          <w:tcPr>
            <w:tcW w:w="1060" w:type="dxa"/>
            <w:tcBorders>
              <w:top w:val="nil"/>
              <w:left w:val="nil"/>
              <w:bottom w:val="single" w:sz="4" w:space="0" w:color="auto"/>
              <w:right w:val="single" w:sz="4" w:space="0" w:color="auto"/>
            </w:tcBorders>
            <w:hideMark/>
          </w:tcPr>
          <w:p w14:paraId="6875563C"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0.52</w:t>
            </w:r>
          </w:p>
        </w:tc>
      </w:tr>
      <w:tr w:rsidR="00E435B4" w:rsidRPr="005C680C" w14:paraId="7547582D"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036B288A"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73042400</w:t>
            </w:r>
          </w:p>
        </w:tc>
        <w:tc>
          <w:tcPr>
            <w:tcW w:w="7983" w:type="dxa"/>
            <w:tcBorders>
              <w:top w:val="nil"/>
              <w:left w:val="nil"/>
              <w:bottom w:val="single" w:sz="4" w:space="0" w:color="auto"/>
              <w:right w:val="single" w:sz="4" w:space="0" w:color="auto"/>
            </w:tcBorders>
            <w:hideMark/>
          </w:tcPr>
          <w:p w14:paraId="40FEEA35"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Casing and tubing, seamless, of a kind used for drilling for oil or gas, of stainless steel</w:t>
            </w:r>
          </w:p>
        </w:tc>
        <w:tc>
          <w:tcPr>
            <w:tcW w:w="1060" w:type="dxa"/>
            <w:tcBorders>
              <w:top w:val="nil"/>
              <w:left w:val="nil"/>
              <w:bottom w:val="single" w:sz="4" w:space="0" w:color="auto"/>
              <w:right w:val="single" w:sz="4" w:space="0" w:color="auto"/>
            </w:tcBorders>
            <w:hideMark/>
          </w:tcPr>
          <w:p w14:paraId="0E6BD650"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1.14</w:t>
            </w:r>
          </w:p>
        </w:tc>
      </w:tr>
      <w:tr w:rsidR="00E435B4" w:rsidRPr="005C680C" w14:paraId="70F07525"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37A02D45"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73042910</w:t>
            </w:r>
          </w:p>
        </w:tc>
        <w:tc>
          <w:tcPr>
            <w:tcW w:w="7983" w:type="dxa"/>
            <w:tcBorders>
              <w:top w:val="nil"/>
              <w:left w:val="nil"/>
              <w:bottom w:val="single" w:sz="4" w:space="0" w:color="auto"/>
              <w:right w:val="single" w:sz="4" w:space="0" w:color="auto"/>
            </w:tcBorders>
            <w:hideMark/>
          </w:tcPr>
          <w:p w14:paraId="16F58603"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Casing and tubing of a kind used for drilling for oil or gas, seamless, of iron or steel, of an external diameter &lt;= 168,3 mm (excl. products of cast iron)</w:t>
            </w:r>
          </w:p>
        </w:tc>
        <w:tc>
          <w:tcPr>
            <w:tcW w:w="1060" w:type="dxa"/>
            <w:tcBorders>
              <w:top w:val="nil"/>
              <w:left w:val="nil"/>
              <w:bottom w:val="single" w:sz="4" w:space="0" w:color="auto"/>
              <w:right w:val="single" w:sz="4" w:space="0" w:color="auto"/>
            </w:tcBorders>
            <w:hideMark/>
          </w:tcPr>
          <w:p w14:paraId="6422E1AD"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0.99</w:t>
            </w:r>
          </w:p>
        </w:tc>
      </w:tr>
      <w:tr w:rsidR="00BB27B6" w:rsidRPr="005C680C" w14:paraId="6F2DD7BD"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7B6DE296"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73042930</w:t>
            </w:r>
          </w:p>
        </w:tc>
        <w:tc>
          <w:tcPr>
            <w:tcW w:w="7983" w:type="dxa"/>
            <w:tcBorders>
              <w:top w:val="nil"/>
              <w:left w:val="nil"/>
              <w:bottom w:val="single" w:sz="4" w:space="0" w:color="auto"/>
              <w:right w:val="single" w:sz="4" w:space="0" w:color="auto"/>
            </w:tcBorders>
            <w:hideMark/>
          </w:tcPr>
          <w:p w14:paraId="419A7DEB"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Casing and tubing of a kind used for drilling for oil or gas, seamless, of iron or steel, of an external diameter &gt; 168,3 mm, but &lt;= 406,4 mm (excl. products of cast iron)</w:t>
            </w:r>
          </w:p>
        </w:tc>
        <w:tc>
          <w:tcPr>
            <w:tcW w:w="1060" w:type="dxa"/>
            <w:tcBorders>
              <w:top w:val="nil"/>
              <w:left w:val="nil"/>
              <w:bottom w:val="single" w:sz="4" w:space="0" w:color="auto"/>
              <w:right w:val="single" w:sz="4" w:space="0" w:color="auto"/>
            </w:tcBorders>
            <w:hideMark/>
          </w:tcPr>
          <w:p w14:paraId="5EDD69B9"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0.70</w:t>
            </w:r>
          </w:p>
        </w:tc>
      </w:tr>
      <w:tr w:rsidR="00BB27B6" w:rsidRPr="005C680C" w14:paraId="533EAB78"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4CBA5F53"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73042990</w:t>
            </w:r>
          </w:p>
        </w:tc>
        <w:tc>
          <w:tcPr>
            <w:tcW w:w="7983" w:type="dxa"/>
            <w:tcBorders>
              <w:top w:val="nil"/>
              <w:left w:val="nil"/>
              <w:bottom w:val="single" w:sz="4" w:space="0" w:color="auto"/>
              <w:right w:val="single" w:sz="4" w:space="0" w:color="auto"/>
            </w:tcBorders>
            <w:hideMark/>
          </w:tcPr>
          <w:p w14:paraId="24E7E220"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Casing and tubing of a kind used for drilling for oil or gas, seamless, of iron or steel, of an external diameter &gt; 406,4 mm (excl. products of cast iron)</w:t>
            </w:r>
          </w:p>
        </w:tc>
        <w:tc>
          <w:tcPr>
            <w:tcW w:w="1060" w:type="dxa"/>
            <w:tcBorders>
              <w:top w:val="nil"/>
              <w:left w:val="nil"/>
              <w:bottom w:val="single" w:sz="4" w:space="0" w:color="auto"/>
              <w:right w:val="single" w:sz="4" w:space="0" w:color="auto"/>
            </w:tcBorders>
            <w:hideMark/>
          </w:tcPr>
          <w:p w14:paraId="6EDA9979"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0.96</w:t>
            </w:r>
          </w:p>
        </w:tc>
      </w:tr>
      <w:tr w:rsidR="00743C26" w:rsidRPr="005C680C" w14:paraId="1D2268D0" w14:textId="77777777" w:rsidTr="00A46DBB">
        <w:trPr>
          <w:trHeight w:val="1200"/>
        </w:trPr>
        <w:tc>
          <w:tcPr>
            <w:tcW w:w="1057" w:type="dxa"/>
            <w:tcBorders>
              <w:top w:val="nil"/>
              <w:left w:val="single" w:sz="4" w:space="0" w:color="auto"/>
              <w:bottom w:val="single" w:sz="4" w:space="0" w:color="auto"/>
              <w:right w:val="single" w:sz="4" w:space="0" w:color="auto"/>
            </w:tcBorders>
            <w:vAlign w:val="center"/>
            <w:hideMark/>
          </w:tcPr>
          <w:p w14:paraId="264505D1"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73043180</w:t>
            </w:r>
          </w:p>
        </w:tc>
        <w:tc>
          <w:tcPr>
            <w:tcW w:w="7983" w:type="dxa"/>
            <w:tcBorders>
              <w:top w:val="nil"/>
              <w:left w:val="nil"/>
              <w:bottom w:val="single" w:sz="4" w:space="0" w:color="auto"/>
              <w:right w:val="single" w:sz="4" w:space="0" w:color="auto"/>
            </w:tcBorders>
            <w:hideMark/>
          </w:tcPr>
          <w:p w14:paraId="40FCF9FE"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Tubes, pipes and hollow profiles, seamless, of circular cross-section, of iron or non-alloy steel, cold-drawn or cold-rolled "cold-reduced" (excl. cast iron products, line pipe of a kind used for oil or gas pipelines, casing and tubing of a kind used for drilling for oil or gas and precision tubes)</w:t>
            </w:r>
          </w:p>
        </w:tc>
        <w:tc>
          <w:tcPr>
            <w:tcW w:w="1060" w:type="dxa"/>
            <w:tcBorders>
              <w:top w:val="nil"/>
              <w:left w:val="nil"/>
              <w:bottom w:val="single" w:sz="4" w:space="0" w:color="auto"/>
              <w:right w:val="single" w:sz="4" w:space="0" w:color="auto"/>
            </w:tcBorders>
            <w:hideMark/>
          </w:tcPr>
          <w:p w14:paraId="440F61A9"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0.39</w:t>
            </w:r>
          </w:p>
        </w:tc>
      </w:tr>
      <w:tr w:rsidR="00743C26" w:rsidRPr="005C680C" w14:paraId="49BB31AC" w14:textId="77777777" w:rsidTr="00A46DBB">
        <w:trPr>
          <w:trHeight w:val="900"/>
        </w:trPr>
        <w:tc>
          <w:tcPr>
            <w:tcW w:w="1057" w:type="dxa"/>
            <w:tcBorders>
              <w:top w:val="nil"/>
              <w:left w:val="single" w:sz="4" w:space="0" w:color="auto"/>
              <w:bottom w:val="single" w:sz="4" w:space="0" w:color="auto"/>
              <w:right w:val="single" w:sz="4" w:space="0" w:color="auto"/>
            </w:tcBorders>
            <w:vAlign w:val="center"/>
            <w:hideMark/>
          </w:tcPr>
          <w:p w14:paraId="4C1BB3ED"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73044100</w:t>
            </w:r>
          </w:p>
        </w:tc>
        <w:tc>
          <w:tcPr>
            <w:tcW w:w="7983" w:type="dxa"/>
            <w:tcBorders>
              <w:top w:val="nil"/>
              <w:left w:val="nil"/>
              <w:bottom w:val="single" w:sz="4" w:space="0" w:color="auto"/>
              <w:right w:val="single" w:sz="4" w:space="0" w:color="auto"/>
            </w:tcBorders>
            <w:hideMark/>
          </w:tcPr>
          <w:p w14:paraId="5DD2660F"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Tubes, pipes and hollow profiles, seamless, of circular cross-section, of stainless steel, cold-drawn or cold-rolled "cold-reduced" (excl. line pipe of a kind used for oil or gas pipelines, casing and tubing of a kind used for drilling for oil or gas)</w:t>
            </w:r>
          </w:p>
        </w:tc>
        <w:tc>
          <w:tcPr>
            <w:tcW w:w="1060" w:type="dxa"/>
            <w:tcBorders>
              <w:top w:val="nil"/>
              <w:left w:val="nil"/>
              <w:bottom w:val="single" w:sz="4" w:space="0" w:color="auto"/>
              <w:right w:val="single" w:sz="4" w:space="0" w:color="auto"/>
            </w:tcBorders>
            <w:hideMark/>
          </w:tcPr>
          <w:p w14:paraId="6BA23AEB"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0.38</w:t>
            </w:r>
          </w:p>
        </w:tc>
      </w:tr>
      <w:tr w:rsidR="00743C26" w:rsidRPr="005C680C" w14:paraId="2E492600" w14:textId="77777777" w:rsidTr="00A46DBB">
        <w:trPr>
          <w:trHeight w:val="1200"/>
        </w:trPr>
        <w:tc>
          <w:tcPr>
            <w:tcW w:w="1057" w:type="dxa"/>
            <w:tcBorders>
              <w:top w:val="nil"/>
              <w:left w:val="single" w:sz="4" w:space="0" w:color="auto"/>
              <w:bottom w:val="single" w:sz="4" w:space="0" w:color="auto"/>
              <w:right w:val="single" w:sz="4" w:space="0" w:color="auto"/>
            </w:tcBorders>
            <w:vAlign w:val="center"/>
            <w:hideMark/>
          </w:tcPr>
          <w:p w14:paraId="2D6D6755"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73044983</w:t>
            </w:r>
          </w:p>
        </w:tc>
        <w:tc>
          <w:tcPr>
            <w:tcW w:w="7983" w:type="dxa"/>
            <w:tcBorders>
              <w:top w:val="nil"/>
              <w:left w:val="nil"/>
              <w:bottom w:val="single" w:sz="4" w:space="0" w:color="auto"/>
              <w:right w:val="single" w:sz="4" w:space="0" w:color="auto"/>
            </w:tcBorders>
            <w:hideMark/>
          </w:tcPr>
          <w:p w14:paraId="5921E52B"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Tubes, pipes and hollow profiles, seamless, of circular cross-section, of stainless steel, of an external diameter of &lt;= 168,3 mm (excl. cold-drawn or cold-rolled, line pipe of a kind used for oil or gas pipelines, and casing and tubing of a kind used for drilling for oil or gas and tubes)</w:t>
            </w:r>
          </w:p>
        </w:tc>
        <w:tc>
          <w:tcPr>
            <w:tcW w:w="1060" w:type="dxa"/>
            <w:tcBorders>
              <w:top w:val="nil"/>
              <w:left w:val="nil"/>
              <w:bottom w:val="single" w:sz="4" w:space="0" w:color="auto"/>
              <w:right w:val="single" w:sz="4" w:space="0" w:color="auto"/>
            </w:tcBorders>
            <w:hideMark/>
          </w:tcPr>
          <w:p w14:paraId="046192CB"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0.45</w:t>
            </w:r>
          </w:p>
        </w:tc>
      </w:tr>
      <w:tr w:rsidR="00BB27B6" w:rsidRPr="005C680C" w14:paraId="5840B85D" w14:textId="77777777" w:rsidTr="00A46DBB">
        <w:trPr>
          <w:trHeight w:val="1200"/>
        </w:trPr>
        <w:tc>
          <w:tcPr>
            <w:tcW w:w="1057" w:type="dxa"/>
            <w:tcBorders>
              <w:top w:val="nil"/>
              <w:left w:val="single" w:sz="4" w:space="0" w:color="auto"/>
              <w:bottom w:val="single" w:sz="4" w:space="0" w:color="auto"/>
              <w:right w:val="single" w:sz="4" w:space="0" w:color="auto"/>
            </w:tcBorders>
            <w:vAlign w:val="center"/>
            <w:hideMark/>
          </w:tcPr>
          <w:p w14:paraId="4743A6F1"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73044985</w:t>
            </w:r>
          </w:p>
        </w:tc>
        <w:tc>
          <w:tcPr>
            <w:tcW w:w="7983" w:type="dxa"/>
            <w:tcBorders>
              <w:top w:val="nil"/>
              <w:left w:val="nil"/>
              <w:bottom w:val="single" w:sz="4" w:space="0" w:color="auto"/>
              <w:right w:val="single" w:sz="4" w:space="0" w:color="auto"/>
            </w:tcBorders>
            <w:hideMark/>
          </w:tcPr>
          <w:p w14:paraId="09683655"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Tubes, pipes and hollow profiles, seamless, of circular cross-section, of stainless steel, of an external diameter of &gt; 168,3 mm but &lt;= 406,4 mm (excl. cold-drawn or cold-rolled, line pipe of a kind used for oil or gas pipelines, and casing and tubing of a kind used for drilling for oil or gas and tubes)</w:t>
            </w:r>
          </w:p>
        </w:tc>
        <w:tc>
          <w:tcPr>
            <w:tcW w:w="1060" w:type="dxa"/>
            <w:tcBorders>
              <w:top w:val="nil"/>
              <w:left w:val="nil"/>
              <w:bottom w:val="single" w:sz="4" w:space="0" w:color="auto"/>
              <w:right w:val="single" w:sz="4" w:space="0" w:color="auto"/>
            </w:tcBorders>
            <w:hideMark/>
          </w:tcPr>
          <w:p w14:paraId="7DF918FE"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0.75</w:t>
            </w:r>
          </w:p>
        </w:tc>
      </w:tr>
      <w:tr w:rsidR="00BB27B6" w:rsidRPr="005C680C" w14:paraId="690C2FF7" w14:textId="77777777" w:rsidTr="00A46DBB">
        <w:trPr>
          <w:trHeight w:val="1200"/>
        </w:trPr>
        <w:tc>
          <w:tcPr>
            <w:tcW w:w="1057" w:type="dxa"/>
            <w:tcBorders>
              <w:top w:val="nil"/>
              <w:left w:val="single" w:sz="4" w:space="0" w:color="auto"/>
              <w:bottom w:val="single" w:sz="4" w:space="0" w:color="auto"/>
              <w:right w:val="single" w:sz="4" w:space="0" w:color="auto"/>
            </w:tcBorders>
            <w:vAlign w:val="center"/>
            <w:hideMark/>
          </w:tcPr>
          <w:p w14:paraId="45EDBDCC"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73044989</w:t>
            </w:r>
          </w:p>
        </w:tc>
        <w:tc>
          <w:tcPr>
            <w:tcW w:w="7983" w:type="dxa"/>
            <w:tcBorders>
              <w:top w:val="nil"/>
              <w:left w:val="nil"/>
              <w:bottom w:val="single" w:sz="4" w:space="0" w:color="auto"/>
              <w:right w:val="single" w:sz="4" w:space="0" w:color="auto"/>
            </w:tcBorders>
            <w:hideMark/>
          </w:tcPr>
          <w:p w14:paraId="4C97182B"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Tubes, pipes and hollow profiles, seamless, of circular cross-section, of stainless steel, of an external diameter of &gt; 406,4 mm (excl. cold-drawn or cold-rolled, line pipe of a kind used for oil or gas pipelines, and casing and tubing of a kind used for drilling for oil or gas and tubes)</w:t>
            </w:r>
          </w:p>
        </w:tc>
        <w:tc>
          <w:tcPr>
            <w:tcW w:w="1060" w:type="dxa"/>
            <w:tcBorders>
              <w:top w:val="nil"/>
              <w:left w:val="nil"/>
              <w:bottom w:val="single" w:sz="4" w:space="0" w:color="auto"/>
              <w:right w:val="single" w:sz="4" w:space="0" w:color="auto"/>
            </w:tcBorders>
            <w:hideMark/>
          </w:tcPr>
          <w:p w14:paraId="5B871A63"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0.70</w:t>
            </w:r>
          </w:p>
        </w:tc>
      </w:tr>
      <w:tr w:rsidR="00743C26" w:rsidRPr="005C680C" w14:paraId="1A54CAB2" w14:textId="77777777" w:rsidTr="00A46DBB">
        <w:trPr>
          <w:trHeight w:val="1800"/>
        </w:trPr>
        <w:tc>
          <w:tcPr>
            <w:tcW w:w="1057" w:type="dxa"/>
            <w:tcBorders>
              <w:top w:val="nil"/>
              <w:left w:val="single" w:sz="4" w:space="0" w:color="auto"/>
              <w:bottom w:val="single" w:sz="4" w:space="0" w:color="auto"/>
              <w:right w:val="single" w:sz="4" w:space="0" w:color="auto"/>
            </w:tcBorders>
            <w:vAlign w:val="center"/>
            <w:hideMark/>
          </w:tcPr>
          <w:p w14:paraId="1398F511"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73045181</w:t>
            </w:r>
          </w:p>
        </w:tc>
        <w:tc>
          <w:tcPr>
            <w:tcW w:w="7983" w:type="dxa"/>
            <w:tcBorders>
              <w:top w:val="nil"/>
              <w:left w:val="nil"/>
              <w:bottom w:val="single" w:sz="4" w:space="0" w:color="auto"/>
              <w:right w:val="single" w:sz="4" w:space="0" w:color="auto"/>
            </w:tcBorders>
            <w:hideMark/>
          </w:tcPr>
          <w:p w14:paraId="6DFE5AF3"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Precision tubes, seamless, of circular cross-section, of alloy steel other than stainless, cold-drawn or cold-rolled "cold-reduced" (excl. line pipe of a kind used for oil or gas pipelines, casing and tubing of a kind used for drilling for oil and tubes, and pipes and hollow profiles, straight and of uniform wall-thickness, containing by weight &gt;= 0,9% but &lt;= 1,15% carbon and &gt;= 0,5% but &lt;= 2% chrome, whether or not containing by weight &lt;= 0,5% molybdenum)</w:t>
            </w:r>
          </w:p>
        </w:tc>
        <w:tc>
          <w:tcPr>
            <w:tcW w:w="1060" w:type="dxa"/>
            <w:tcBorders>
              <w:top w:val="nil"/>
              <w:left w:val="nil"/>
              <w:bottom w:val="single" w:sz="4" w:space="0" w:color="auto"/>
              <w:right w:val="single" w:sz="4" w:space="0" w:color="auto"/>
            </w:tcBorders>
            <w:hideMark/>
          </w:tcPr>
          <w:p w14:paraId="51F40AF2"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0.31</w:t>
            </w:r>
          </w:p>
        </w:tc>
      </w:tr>
      <w:tr w:rsidR="00743C26" w:rsidRPr="005C680C" w14:paraId="71065623" w14:textId="77777777" w:rsidTr="00A46DBB">
        <w:trPr>
          <w:trHeight w:val="1800"/>
        </w:trPr>
        <w:tc>
          <w:tcPr>
            <w:tcW w:w="1057" w:type="dxa"/>
            <w:tcBorders>
              <w:top w:val="nil"/>
              <w:left w:val="single" w:sz="4" w:space="0" w:color="auto"/>
              <w:bottom w:val="single" w:sz="4" w:space="0" w:color="auto"/>
              <w:right w:val="single" w:sz="4" w:space="0" w:color="auto"/>
            </w:tcBorders>
            <w:vAlign w:val="center"/>
            <w:hideMark/>
          </w:tcPr>
          <w:p w14:paraId="41F0CDE7"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73045189</w:t>
            </w:r>
          </w:p>
        </w:tc>
        <w:tc>
          <w:tcPr>
            <w:tcW w:w="7983" w:type="dxa"/>
            <w:tcBorders>
              <w:top w:val="nil"/>
              <w:left w:val="nil"/>
              <w:bottom w:val="single" w:sz="4" w:space="0" w:color="auto"/>
              <w:right w:val="single" w:sz="4" w:space="0" w:color="auto"/>
            </w:tcBorders>
            <w:hideMark/>
          </w:tcPr>
          <w:p w14:paraId="4E17FC72"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Tubes, pipes and hollow profiles, seamless, of circular cross-section, of alloy steel other than stainless, not cold-drawn or cold-rolled "cold-reduced" (excl. line pipe of a kind used for oil or gas pipelines, casing and tubing of a kind used for drilling for oil, precision tubes, and , pipes and hollow profiles, straight and of uniform wall-thickness, containing by weight &gt;= 0,9% but &lt;= 1,15% carbon and &gt;= 0,5% but &lt;= 2% chrome, whether or not containing by weight &lt;= 0,5% molybdenum)</w:t>
            </w:r>
          </w:p>
        </w:tc>
        <w:tc>
          <w:tcPr>
            <w:tcW w:w="1060" w:type="dxa"/>
            <w:tcBorders>
              <w:top w:val="nil"/>
              <w:left w:val="nil"/>
              <w:bottom w:val="single" w:sz="4" w:space="0" w:color="auto"/>
              <w:right w:val="single" w:sz="4" w:space="0" w:color="auto"/>
            </w:tcBorders>
            <w:hideMark/>
          </w:tcPr>
          <w:p w14:paraId="093C7FFA"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0.37</w:t>
            </w:r>
          </w:p>
        </w:tc>
      </w:tr>
      <w:tr w:rsidR="00743C26" w:rsidRPr="005C680C" w14:paraId="6D364349" w14:textId="77777777" w:rsidTr="00A46DBB">
        <w:trPr>
          <w:trHeight w:val="1500"/>
        </w:trPr>
        <w:tc>
          <w:tcPr>
            <w:tcW w:w="1057" w:type="dxa"/>
            <w:tcBorders>
              <w:top w:val="nil"/>
              <w:left w:val="single" w:sz="4" w:space="0" w:color="auto"/>
              <w:bottom w:val="single" w:sz="4" w:space="0" w:color="auto"/>
              <w:right w:val="single" w:sz="4" w:space="0" w:color="auto"/>
            </w:tcBorders>
            <w:vAlign w:val="center"/>
            <w:hideMark/>
          </w:tcPr>
          <w:p w14:paraId="1B235F06"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73045930</w:t>
            </w:r>
          </w:p>
        </w:tc>
        <w:tc>
          <w:tcPr>
            <w:tcW w:w="7983" w:type="dxa"/>
            <w:tcBorders>
              <w:top w:val="nil"/>
              <w:left w:val="nil"/>
              <w:bottom w:val="single" w:sz="4" w:space="0" w:color="auto"/>
              <w:right w:val="single" w:sz="4" w:space="0" w:color="auto"/>
            </w:tcBorders>
            <w:hideMark/>
          </w:tcPr>
          <w:p w14:paraId="370128A5"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Tubes, pipes and hollow profiles of alloy steel (excl. stainless), seamless, of circular cross-section (not cold-drawn or cold-rolled), straight and of uniform wall-thickness, containing by weight &gt;= 0,9% but &lt;= 1,15% carbon and &gt;= 0,5% but &lt;= 2% chromium, whether or not containing by weight &lt;= 0,5% molybdenum (excl. tubes, pipes and hollow profiles of subheadings 7304 19 to 7304 29)</w:t>
            </w:r>
          </w:p>
        </w:tc>
        <w:tc>
          <w:tcPr>
            <w:tcW w:w="1060" w:type="dxa"/>
            <w:tcBorders>
              <w:top w:val="nil"/>
              <w:left w:val="nil"/>
              <w:bottom w:val="single" w:sz="4" w:space="0" w:color="auto"/>
              <w:right w:val="single" w:sz="4" w:space="0" w:color="auto"/>
            </w:tcBorders>
            <w:hideMark/>
          </w:tcPr>
          <w:p w14:paraId="42811603"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0.30</w:t>
            </w:r>
          </w:p>
        </w:tc>
      </w:tr>
      <w:tr w:rsidR="00743C26" w:rsidRPr="005C680C" w14:paraId="22776D5E" w14:textId="77777777" w:rsidTr="00A46DBB">
        <w:trPr>
          <w:trHeight w:val="1200"/>
        </w:trPr>
        <w:tc>
          <w:tcPr>
            <w:tcW w:w="1057" w:type="dxa"/>
            <w:tcBorders>
              <w:top w:val="nil"/>
              <w:left w:val="single" w:sz="4" w:space="0" w:color="auto"/>
              <w:bottom w:val="single" w:sz="4" w:space="0" w:color="auto"/>
              <w:right w:val="single" w:sz="4" w:space="0" w:color="auto"/>
            </w:tcBorders>
            <w:vAlign w:val="center"/>
            <w:hideMark/>
          </w:tcPr>
          <w:p w14:paraId="55C02B53"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73045982</w:t>
            </w:r>
          </w:p>
        </w:tc>
        <w:tc>
          <w:tcPr>
            <w:tcW w:w="7983" w:type="dxa"/>
            <w:tcBorders>
              <w:top w:val="nil"/>
              <w:left w:val="nil"/>
              <w:bottom w:val="single" w:sz="4" w:space="0" w:color="auto"/>
              <w:right w:val="single" w:sz="4" w:space="0" w:color="auto"/>
            </w:tcBorders>
            <w:hideMark/>
          </w:tcPr>
          <w:p w14:paraId="484AE6E5"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Tubes, pipes and hollow profiles, seamless, of circular cross-section, of alloy steel other than stainless, of an external diameter of &lt;= 168,3 mm (excl. cold-drawn or cold-rolled, line pipe of a kind used for oil or gas pipelines, casing and tubing of a kind used for drilling for oil or gas, and products of subheading 7304 59 30)</w:t>
            </w:r>
          </w:p>
        </w:tc>
        <w:tc>
          <w:tcPr>
            <w:tcW w:w="1060" w:type="dxa"/>
            <w:tcBorders>
              <w:top w:val="nil"/>
              <w:left w:val="nil"/>
              <w:bottom w:val="single" w:sz="4" w:space="0" w:color="auto"/>
              <w:right w:val="single" w:sz="4" w:space="0" w:color="auto"/>
            </w:tcBorders>
            <w:hideMark/>
          </w:tcPr>
          <w:p w14:paraId="7C88AD90"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0.39</w:t>
            </w:r>
          </w:p>
        </w:tc>
      </w:tr>
      <w:tr w:rsidR="00743C26" w:rsidRPr="005C680C" w14:paraId="196F7501" w14:textId="77777777" w:rsidTr="00A46DBB">
        <w:trPr>
          <w:trHeight w:val="1200"/>
        </w:trPr>
        <w:tc>
          <w:tcPr>
            <w:tcW w:w="1057" w:type="dxa"/>
            <w:tcBorders>
              <w:top w:val="nil"/>
              <w:left w:val="single" w:sz="4" w:space="0" w:color="auto"/>
              <w:bottom w:val="single" w:sz="4" w:space="0" w:color="auto"/>
              <w:right w:val="single" w:sz="4" w:space="0" w:color="auto"/>
            </w:tcBorders>
            <w:vAlign w:val="center"/>
            <w:hideMark/>
          </w:tcPr>
          <w:p w14:paraId="5AAB72F5"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73045983</w:t>
            </w:r>
          </w:p>
        </w:tc>
        <w:tc>
          <w:tcPr>
            <w:tcW w:w="7983" w:type="dxa"/>
            <w:tcBorders>
              <w:top w:val="nil"/>
              <w:left w:val="nil"/>
              <w:bottom w:val="single" w:sz="4" w:space="0" w:color="auto"/>
              <w:right w:val="single" w:sz="4" w:space="0" w:color="auto"/>
            </w:tcBorders>
            <w:hideMark/>
          </w:tcPr>
          <w:p w14:paraId="7E66099A"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Tubes, pipes and hollow profiles, seamless, of circular cross-section, of alloy steel other than stainless, of an external diameter of &gt; 168,3 mm but &lt;= 406,4 mm (excl. cold-drawn or cold-rolled, line pipe of a kind used for oil or gas pipelines, casing and tubing of a kind used for drilling for oil or gas, and products of subheading 7304 59 30)</w:t>
            </w:r>
          </w:p>
        </w:tc>
        <w:tc>
          <w:tcPr>
            <w:tcW w:w="1060" w:type="dxa"/>
            <w:tcBorders>
              <w:top w:val="nil"/>
              <w:left w:val="nil"/>
              <w:bottom w:val="single" w:sz="4" w:space="0" w:color="auto"/>
              <w:right w:val="single" w:sz="4" w:space="0" w:color="auto"/>
            </w:tcBorders>
            <w:hideMark/>
          </w:tcPr>
          <w:p w14:paraId="2B8B48AA"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0.32</w:t>
            </w:r>
          </w:p>
        </w:tc>
      </w:tr>
      <w:tr w:rsidR="00743C26" w:rsidRPr="005C680C" w14:paraId="0F68BD24" w14:textId="77777777" w:rsidTr="00A46DBB">
        <w:trPr>
          <w:trHeight w:val="1200"/>
        </w:trPr>
        <w:tc>
          <w:tcPr>
            <w:tcW w:w="1057" w:type="dxa"/>
            <w:tcBorders>
              <w:top w:val="nil"/>
              <w:left w:val="single" w:sz="4" w:space="0" w:color="auto"/>
              <w:bottom w:val="single" w:sz="4" w:space="0" w:color="auto"/>
              <w:right w:val="single" w:sz="4" w:space="0" w:color="auto"/>
            </w:tcBorders>
            <w:vAlign w:val="center"/>
            <w:hideMark/>
          </w:tcPr>
          <w:p w14:paraId="63E879A2"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73045989</w:t>
            </w:r>
          </w:p>
        </w:tc>
        <w:tc>
          <w:tcPr>
            <w:tcW w:w="7983" w:type="dxa"/>
            <w:tcBorders>
              <w:top w:val="nil"/>
              <w:left w:val="nil"/>
              <w:bottom w:val="single" w:sz="4" w:space="0" w:color="auto"/>
              <w:right w:val="single" w:sz="4" w:space="0" w:color="auto"/>
            </w:tcBorders>
            <w:hideMark/>
          </w:tcPr>
          <w:p w14:paraId="688F269F"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Tubes, pipes and hollow profiles, seamless, of circular cross-section, of alloy steel other than stainless, of an external diameter of &gt; 406,4 mm (excl. cold-drawn or cold-rolled, line pipe of a kind used for oil or gas pipelines, casing and tubing of a kind used for drilling for oil or gas, and products of subheading 7304 59 30)</w:t>
            </w:r>
          </w:p>
        </w:tc>
        <w:tc>
          <w:tcPr>
            <w:tcW w:w="1060" w:type="dxa"/>
            <w:tcBorders>
              <w:top w:val="nil"/>
              <w:left w:val="nil"/>
              <w:bottom w:val="single" w:sz="4" w:space="0" w:color="auto"/>
              <w:right w:val="single" w:sz="4" w:space="0" w:color="auto"/>
            </w:tcBorders>
            <w:hideMark/>
          </w:tcPr>
          <w:p w14:paraId="56C99BBE"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0.35</w:t>
            </w:r>
          </w:p>
        </w:tc>
      </w:tr>
      <w:tr w:rsidR="00BB27B6" w:rsidRPr="005C680C" w14:paraId="1CB29971"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402CBDE2"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73049000</w:t>
            </w:r>
          </w:p>
        </w:tc>
        <w:tc>
          <w:tcPr>
            <w:tcW w:w="7983" w:type="dxa"/>
            <w:tcBorders>
              <w:top w:val="nil"/>
              <w:left w:val="nil"/>
              <w:bottom w:val="single" w:sz="4" w:space="0" w:color="auto"/>
              <w:right w:val="single" w:sz="4" w:space="0" w:color="auto"/>
            </w:tcBorders>
            <w:hideMark/>
          </w:tcPr>
          <w:p w14:paraId="0F7D5C99"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Tubes, pipes and hollow profiles, seamless, of non-circular cross-section, of iron or steel (excl. products of cast iron)</w:t>
            </w:r>
          </w:p>
        </w:tc>
        <w:tc>
          <w:tcPr>
            <w:tcW w:w="1060" w:type="dxa"/>
            <w:tcBorders>
              <w:top w:val="nil"/>
              <w:left w:val="nil"/>
              <w:bottom w:val="single" w:sz="4" w:space="0" w:color="auto"/>
              <w:right w:val="single" w:sz="4" w:space="0" w:color="auto"/>
            </w:tcBorders>
            <w:hideMark/>
          </w:tcPr>
          <w:p w14:paraId="575616B9"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2.10</w:t>
            </w:r>
          </w:p>
        </w:tc>
      </w:tr>
      <w:tr w:rsidR="00BB27B6" w:rsidRPr="005C680C" w14:paraId="1456C6D3"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0AB53C8D"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73051100</w:t>
            </w:r>
          </w:p>
        </w:tc>
        <w:tc>
          <w:tcPr>
            <w:tcW w:w="7983" w:type="dxa"/>
            <w:tcBorders>
              <w:top w:val="nil"/>
              <w:left w:val="nil"/>
              <w:bottom w:val="single" w:sz="4" w:space="0" w:color="auto"/>
              <w:right w:val="single" w:sz="4" w:space="0" w:color="auto"/>
            </w:tcBorders>
            <w:hideMark/>
          </w:tcPr>
          <w:p w14:paraId="65E09F0C"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Line pipe of a kind used for oil or gas pipelines, having circular cross-sections and an external diameter of &gt; 406,4 mm, of iron or steel, longitudinally submerged arc welded</w:t>
            </w:r>
          </w:p>
        </w:tc>
        <w:tc>
          <w:tcPr>
            <w:tcW w:w="1060" w:type="dxa"/>
            <w:tcBorders>
              <w:top w:val="nil"/>
              <w:left w:val="nil"/>
              <w:bottom w:val="single" w:sz="4" w:space="0" w:color="auto"/>
              <w:right w:val="single" w:sz="4" w:space="0" w:color="auto"/>
            </w:tcBorders>
            <w:hideMark/>
          </w:tcPr>
          <w:p w14:paraId="7542878B"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0.51</w:t>
            </w:r>
          </w:p>
        </w:tc>
      </w:tr>
      <w:tr w:rsidR="00743C26" w:rsidRPr="005C680C" w14:paraId="31D6F688" w14:textId="77777777" w:rsidTr="00A46DBB">
        <w:trPr>
          <w:trHeight w:val="900"/>
        </w:trPr>
        <w:tc>
          <w:tcPr>
            <w:tcW w:w="1057" w:type="dxa"/>
            <w:tcBorders>
              <w:top w:val="nil"/>
              <w:left w:val="single" w:sz="4" w:space="0" w:color="auto"/>
              <w:bottom w:val="single" w:sz="4" w:space="0" w:color="auto"/>
              <w:right w:val="single" w:sz="4" w:space="0" w:color="auto"/>
            </w:tcBorders>
            <w:vAlign w:val="center"/>
            <w:hideMark/>
          </w:tcPr>
          <w:p w14:paraId="601652B5"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73051200</w:t>
            </w:r>
          </w:p>
        </w:tc>
        <w:tc>
          <w:tcPr>
            <w:tcW w:w="7983" w:type="dxa"/>
            <w:tcBorders>
              <w:top w:val="nil"/>
              <w:left w:val="nil"/>
              <w:bottom w:val="single" w:sz="4" w:space="0" w:color="auto"/>
              <w:right w:val="single" w:sz="4" w:space="0" w:color="auto"/>
            </w:tcBorders>
            <w:hideMark/>
          </w:tcPr>
          <w:p w14:paraId="536FE396"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Line pipe of a kind used for oil or gas pipelines, having circular cross-sections and an external diameter of &gt; 406,4 mm, of iron or steel, longitudinally arc welded (excl. products longitudinally submerged arc welded)</w:t>
            </w:r>
          </w:p>
        </w:tc>
        <w:tc>
          <w:tcPr>
            <w:tcW w:w="1060" w:type="dxa"/>
            <w:tcBorders>
              <w:top w:val="nil"/>
              <w:left w:val="nil"/>
              <w:bottom w:val="single" w:sz="4" w:space="0" w:color="auto"/>
              <w:right w:val="single" w:sz="4" w:space="0" w:color="auto"/>
            </w:tcBorders>
            <w:hideMark/>
          </w:tcPr>
          <w:p w14:paraId="067AD8AC"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0.43</w:t>
            </w:r>
          </w:p>
        </w:tc>
      </w:tr>
      <w:tr w:rsidR="00BB27B6" w:rsidRPr="005C680C" w14:paraId="2A3D240B"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1EBC9427"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73052000</w:t>
            </w:r>
          </w:p>
        </w:tc>
        <w:tc>
          <w:tcPr>
            <w:tcW w:w="7983" w:type="dxa"/>
            <w:tcBorders>
              <w:top w:val="nil"/>
              <w:left w:val="nil"/>
              <w:bottom w:val="single" w:sz="4" w:space="0" w:color="auto"/>
              <w:right w:val="single" w:sz="4" w:space="0" w:color="auto"/>
            </w:tcBorders>
            <w:hideMark/>
          </w:tcPr>
          <w:p w14:paraId="438C605A"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Casing of a kind used in drilling for oil or gas, having circular cross-sections and an external diameter of &gt; 406,4 mm, of flat-rolled products of iron or steel</w:t>
            </w:r>
          </w:p>
        </w:tc>
        <w:tc>
          <w:tcPr>
            <w:tcW w:w="1060" w:type="dxa"/>
            <w:tcBorders>
              <w:top w:val="nil"/>
              <w:left w:val="nil"/>
              <w:bottom w:val="single" w:sz="4" w:space="0" w:color="auto"/>
              <w:right w:val="single" w:sz="4" w:space="0" w:color="auto"/>
            </w:tcBorders>
            <w:hideMark/>
          </w:tcPr>
          <w:p w14:paraId="7B5941C5"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0.59</w:t>
            </w:r>
          </w:p>
        </w:tc>
      </w:tr>
      <w:tr w:rsidR="00743C26" w:rsidRPr="005C680C" w14:paraId="590941CD" w14:textId="77777777" w:rsidTr="00A46DBB">
        <w:trPr>
          <w:trHeight w:val="900"/>
        </w:trPr>
        <w:tc>
          <w:tcPr>
            <w:tcW w:w="1057" w:type="dxa"/>
            <w:tcBorders>
              <w:top w:val="nil"/>
              <w:left w:val="single" w:sz="4" w:space="0" w:color="auto"/>
              <w:bottom w:val="single" w:sz="4" w:space="0" w:color="auto"/>
              <w:right w:val="single" w:sz="4" w:space="0" w:color="auto"/>
            </w:tcBorders>
            <w:vAlign w:val="center"/>
            <w:hideMark/>
          </w:tcPr>
          <w:p w14:paraId="069C8F0B"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73061900</w:t>
            </w:r>
          </w:p>
        </w:tc>
        <w:tc>
          <w:tcPr>
            <w:tcW w:w="7983" w:type="dxa"/>
            <w:tcBorders>
              <w:top w:val="nil"/>
              <w:left w:val="nil"/>
              <w:bottom w:val="single" w:sz="4" w:space="0" w:color="auto"/>
              <w:right w:val="single" w:sz="4" w:space="0" w:color="auto"/>
            </w:tcBorders>
            <w:hideMark/>
          </w:tcPr>
          <w:p w14:paraId="3F2852B1"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Line pipe of a kind used for oil or gas pipelines, welded, of flat-rolled products of iron or steel, of an external diameter of &lt;= 406,4 mm (excl. products of stainless steel or of cast iron)</w:t>
            </w:r>
          </w:p>
        </w:tc>
        <w:tc>
          <w:tcPr>
            <w:tcW w:w="1060" w:type="dxa"/>
            <w:tcBorders>
              <w:top w:val="nil"/>
              <w:left w:val="nil"/>
              <w:bottom w:val="single" w:sz="4" w:space="0" w:color="auto"/>
              <w:right w:val="single" w:sz="4" w:space="0" w:color="auto"/>
            </w:tcBorders>
            <w:hideMark/>
          </w:tcPr>
          <w:p w14:paraId="08F924E6"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0.37</w:t>
            </w:r>
          </w:p>
        </w:tc>
      </w:tr>
      <w:tr w:rsidR="00BB27B6" w:rsidRPr="005C680C" w14:paraId="237C1CE2"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532E42CB"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73062100</w:t>
            </w:r>
          </w:p>
        </w:tc>
        <w:tc>
          <w:tcPr>
            <w:tcW w:w="7983" w:type="dxa"/>
            <w:tcBorders>
              <w:top w:val="nil"/>
              <w:left w:val="nil"/>
              <w:bottom w:val="single" w:sz="4" w:space="0" w:color="auto"/>
              <w:right w:val="single" w:sz="4" w:space="0" w:color="auto"/>
            </w:tcBorders>
            <w:hideMark/>
          </w:tcPr>
          <w:p w14:paraId="30C5401C"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Casing and tubing of a kind used in drilling for oil or gas, welded, of flat-rolled products of stainless steel, of an external diameter of &lt;= 406,4 mm</w:t>
            </w:r>
          </w:p>
        </w:tc>
        <w:tc>
          <w:tcPr>
            <w:tcW w:w="1060" w:type="dxa"/>
            <w:tcBorders>
              <w:top w:val="nil"/>
              <w:left w:val="nil"/>
              <w:bottom w:val="single" w:sz="4" w:space="0" w:color="auto"/>
              <w:right w:val="single" w:sz="4" w:space="0" w:color="auto"/>
            </w:tcBorders>
            <w:hideMark/>
          </w:tcPr>
          <w:p w14:paraId="1A394E43"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0.51</w:t>
            </w:r>
          </w:p>
        </w:tc>
      </w:tr>
      <w:tr w:rsidR="00BB27B6" w:rsidRPr="005C680C" w14:paraId="21451EB8" w14:textId="77777777" w:rsidTr="00A46DBB">
        <w:trPr>
          <w:trHeight w:val="900"/>
        </w:trPr>
        <w:tc>
          <w:tcPr>
            <w:tcW w:w="1057" w:type="dxa"/>
            <w:tcBorders>
              <w:top w:val="nil"/>
              <w:left w:val="single" w:sz="4" w:space="0" w:color="auto"/>
              <w:bottom w:val="single" w:sz="4" w:space="0" w:color="auto"/>
              <w:right w:val="single" w:sz="4" w:space="0" w:color="auto"/>
            </w:tcBorders>
            <w:vAlign w:val="center"/>
            <w:hideMark/>
          </w:tcPr>
          <w:p w14:paraId="6B6CDAF2"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73062900</w:t>
            </w:r>
          </w:p>
        </w:tc>
        <w:tc>
          <w:tcPr>
            <w:tcW w:w="7983" w:type="dxa"/>
            <w:tcBorders>
              <w:top w:val="nil"/>
              <w:left w:val="nil"/>
              <w:bottom w:val="single" w:sz="4" w:space="0" w:color="auto"/>
              <w:right w:val="single" w:sz="4" w:space="0" w:color="auto"/>
            </w:tcBorders>
            <w:hideMark/>
          </w:tcPr>
          <w:p w14:paraId="4A1875BE"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Casing and tubing of a kind used in drilling for oil or gas, welded, of flat-rolled products of iron or steel, of an external diameter of &lt;= 406,4 mm (excl. products of stainless steel or of cast iron)</w:t>
            </w:r>
          </w:p>
        </w:tc>
        <w:tc>
          <w:tcPr>
            <w:tcW w:w="1060" w:type="dxa"/>
            <w:tcBorders>
              <w:top w:val="nil"/>
              <w:left w:val="nil"/>
              <w:bottom w:val="single" w:sz="4" w:space="0" w:color="auto"/>
              <w:right w:val="single" w:sz="4" w:space="0" w:color="auto"/>
            </w:tcBorders>
            <w:hideMark/>
          </w:tcPr>
          <w:p w14:paraId="2769CF5E"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6.34</w:t>
            </w:r>
          </w:p>
        </w:tc>
      </w:tr>
      <w:tr w:rsidR="00743C26" w:rsidRPr="005C680C" w14:paraId="3729B64B" w14:textId="77777777" w:rsidTr="00A46DBB">
        <w:trPr>
          <w:trHeight w:val="900"/>
        </w:trPr>
        <w:tc>
          <w:tcPr>
            <w:tcW w:w="1057" w:type="dxa"/>
            <w:tcBorders>
              <w:top w:val="nil"/>
              <w:left w:val="single" w:sz="4" w:space="0" w:color="auto"/>
              <w:bottom w:val="single" w:sz="4" w:space="0" w:color="auto"/>
              <w:right w:val="single" w:sz="4" w:space="0" w:color="auto"/>
            </w:tcBorders>
            <w:vAlign w:val="center"/>
            <w:hideMark/>
          </w:tcPr>
          <w:p w14:paraId="73B83CF3"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73069000</w:t>
            </w:r>
          </w:p>
        </w:tc>
        <w:tc>
          <w:tcPr>
            <w:tcW w:w="7983" w:type="dxa"/>
            <w:tcBorders>
              <w:top w:val="nil"/>
              <w:left w:val="nil"/>
              <w:bottom w:val="single" w:sz="4" w:space="0" w:color="auto"/>
              <w:right w:val="single" w:sz="4" w:space="0" w:color="auto"/>
            </w:tcBorders>
            <w:hideMark/>
          </w:tcPr>
          <w:p w14:paraId="7E073ABF"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Tubes, pipes and hollow profiles "e.g., open seam, riveted or similarly closed", of iron or steel (excl. of cast iron, seamless or welded tubes and pipes and tubes and pipes having internal and external circular cross-sections and an external diameter of &gt; 406,4 mm)</w:t>
            </w:r>
          </w:p>
        </w:tc>
        <w:tc>
          <w:tcPr>
            <w:tcW w:w="1060" w:type="dxa"/>
            <w:tcBorders>
              <w:top w:val="nil"/>
              <w:left w:val="nil"/>
              <w:bottom w:val="single" w:sz="4" w:space="0" w:color="auto"/>
              <w:right w:val="single" w:sz="4" w:space="0" w:color="auto"/>
            </w:tcBorders>
            <w:hideMark/>
          </w:tcPr>
          <w:p w14:paraId="7665B6FB"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0.37</w:t>
            </w:r>
          </w:p>
        </w:tc>
      </w:tr>
      <w:tr w:rsidR="00743C26" w:rsidRPr="005C680C" w14:paraId="1A3E3AA3"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56431F81"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73071910</w:t>
            </w:r>
          </w:p>
        </w:tc>
        <w:tc>
          <w:tcPr>
            <w:tcW w:w="7983" w:type="dxa"/>
            <w:tcBorders>
              <w:top w:val="nil"/>
              <w:left w:val="nil"/>
              <w:bottom w:val="single" w:sz="4" w:space="0" w:color="auto"/>
              <w:right w:val="single" w:sz="4" w:space="0" w:color="auto"/>
            </w:tcBorders>
            <w:hideMark/>
          </w:tcPr>
          <w:p w14:paraId="681C83E8"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Tube or pipe fittings of cast iron (excl. of non-malleable)</w:t>
            </w:r>
          </w:p>
        </w:tc>
        <w:tc>
          <w:tcPr>
            <w:tcW w:w="1060" w:type="dxa"/>
            <w:tcBorders>
              <w:top w:val="nil"/>
              <w:left w:val="nil"/>
              <w:bottom w:val="single" w:sz="4" w:space="0" w:color="auto"/>
              <w:right w:val="single" w:sz="4" w:space="0" w:color="auto"/>
            </w:tcBorders>
            <w:hideMark/>
          </w:tcPr>
          <w:p w14:paraId="28FD58A3"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0.30</w:t>
            </w:r>
          </w:p>
        </w:tc>
      </w:tr>
      <w:tr w:rsidR="00743C26" w:rsidRPr="005C680C" w14:paraId="4A32C85B"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605C3563"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73071990</w:t>
            </w:r>
          </w:p>
        </w:tc>
        <w:tc>
          <w:tcPr>
            <w:tcW w:w="7983" w:type="dxa"/>
            <w:tcBorders>
              <w:top w:val="nil"/>
              <w:left w:val="nil"/>
              <w:bottom w:val="single" w:sz="4" w:space="0" w:color="auto"/>
              <w:right w:val="single" w:sz="4" w:space="0" w:color="auto"/>
            </w:tcBorders>
            <w:hideMark/>
          </w:tcPr>
          <w:p w14:paraId="4C78FD51"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Cast tube or pipe fittings of steel</w:t>
            </w:r>
          </w:p>
        </w:tc>
        <w:tc>
          <w:tcPr>
            <w:tcW w:w="1060" w:type="dxa"/>
            <w:tcBorders>
              <w:top w:val="nil"/>
              <w:left w:val="nil"/>
              <w:bottom w:val="single" w:sz="4" w:space="0" w:color="auto"/>
              <w:right w:val="single" w:sz="4" w:space="0" w:color="auto"/>
            </w:tcBorders>
            <w:hideMark/>
          </w:tcPr>
          <w:p w14:paraId="589AEAE9"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0.48</w:t>
            </w:r>
          </w:p>
        </w:tc>
      </w:tr>
      <w:tr w:rsidR="00743C26" w:rsidRPr="005C680C" w14:paraId="74D94627"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193D317D"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73072100</w:t>
            </w:r>
          </w:p>
        </w:tc>
        <w:tc>
          <w:tcPr>
            <w:tcW w:w="7983" w:type="dxa"/>
            <w:tcBorders>
              <w:top w:val="nil"/>
              <w:left w:val="nil"/>
              <w:bottom w:val="single" w:sz="4" w:space="0" w:color="auto"/>
              <w:right w:val="single" w:sz="4" w:space="0" w:color="auto"/>
            </w:tcBorders>
            <w:hideMark/>
          </w:tcPr>
          <w:p w14:paraId="5BA04780"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Flanges of stainless steel (excl. cast products)</w:t>
            </w:r>
          </w:p>
        </w:tc>
        <w:tc>
          <w:tcPr>
            <w:tcW w:w="1060" w:type="dxa"/>
            <w:tcBorders>
              <w:top w:val="nil"/>
              <w:left w:val="nil"/>
              <w:bottom w:val="single" w:sz="4" w:space="0" w:color="auto"/>
              <w:right w:val="single" w:sz="4" w:space="0" w:color="auto"/>
            </w:tcBorders>
            <w:hideMark/>
          </w:tcPr>
          <w:p w14:paraId="2EE3D118"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0.48</w:t>
            </w:r>
          </w:p>
        </w:tc>
      </w:tr>
      <w:tr w:rsidR="00BB27B6" w:rsidRPr="005C680C" w14:paraId="43E7133F"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4E654E76"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73072210</w:t>
            </w:r>
          </w:p>
        </w:tc>
        <w:tc>
          <w:tcPr>
            <w:tcW w:w="7983" w:type="dxa"/>
            <w:tcBorders>
              <w:top w:val="nil"/>
              <w:left w:val="nil"/>
              <w:bottom w:val="single" w:sz="4" w:space="0" w:color="auto"/>
              <w:right w:val="single" w:sz="4" w:space="0" w:color="auto"/>
            </w:tcBorders>
            <w:hideMark/>
          </w:tcPr>
          <w:p w14:paraId="1F7FEE4B"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Sleeves, of stainless steel, threaded (excl. cast products)</w:t>
            </w:r>
          </w:p>
        </w:tc>
        <w:tc>
          <w:tcPr>
            <w:tcW w:w="1060" w:type="dxa"/>
            <w:tcBorders>
              <w:top w:val="nil"/>
              <w:left w:val="nil"/>
              <w:bottom w:val="single" w:sz="4" w:space="0" w:color="auto"/>
              <w:right w:val="single" w:sz="4" w:space="0" w:color="auto"/>
            </w:tcBorders>
            <w:hideMark/>
          </w:tcPr>
          <w:p w14:paraId="09E57C88"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0.72</w:t>
            </w:r>
          </w:p>
        </w:tc>
      </w:tr>
      <w:tr w:rsidR="00743C26" w:rsidRPr="005C680C" w14:paraId="1527F80D"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12DA2750"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73072290</w:t>
            </w:r>
          </w:p>
        </w:tc>
        <w:tc>
          <w:tcPr>
            <w:tcW w:w="7983" w:type="dxa"/>
            <w:tcBorders>
              <w:top w:val="nil"/>
              <w:left w:val="nil"/>
              <w:bottom w:val="single" w:sz="4" w:space="0" w:color="auto"/>
              <w:right w:val="single" w:sz="4" w:space="0" w:color="auto"/>
            </w:tcBorders>
            <w:hideMark/>
          </w:tcPr>
          <w:p w14:paraId="5622F038"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Elbows and bends, of stainless steel, threaded (excl. cast products)</w:t>
            </w:r>
          </w:p>
        </w:tc>
        <w:tc>
          <w:tcPr>
            <w:tcW w:w="1060" w:type="dxa"/>
            <w:tcBorders>
              <w:top w:val="nil"/>
              <w:left w:val="nil"/>
              <w:bottom w:val="single" w:sz="4" w:space="0" w:color="auto"/>
              <w:right w:val="single" w:sz="4" w:space="0" w:color="auto"/>
            </w:tcBorders>
            <w:hideMark/>
          </w:tcPr>
          <w:p w14:paraId="15666B1D"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0.36</w:t>
            </w:r>
          </w:p>
        </w:tc>
      </w:tr>
      <w:tr w:rsidR="00743C26" w:rsidRPr="005C680C" w14:paraId="20ABC35B"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3963CD42"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73072310</w:t>
            </w:r>
          </w:p>
        </w:tc>
        <w:tc>
          <w:tcPr>
            <w:tcW w:w="7983" w:type="dxa"/>
            <w:tcBorders>
              <w:top w:val="nil"/>
              <w:left w:val="nil"/>
              <w:bottom w:val="single" w:sz="4" w:space="0" w:color="auto"/>
              <w:right w:val="single" w:sz="4" w:space="0" w:color="auto"/>
            </w:tcBorders>
            <w:hideMark/>
          </w:tcPr>
          <w:p w14:paraId="44C64234"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Butt welding elbows and bends of stainless steel (excl. cast products)</w:t>
            </w:r>
          </w:p>
        </w:tc>
        <w:tc>
          <w:tcPr>
            <w:tcW w:w="1060" w:type="dxa"/>
            <w:tcBorders>
              <w:top w:val="nil"/>
              <w:left w:val="nil"/>
              <w:bottom w:val="single" w:sz="4" w:space="0" w:color="auto"/>
              <w:right w:val="single" w:sz="4" w:space="0" w:color="auto"/>
            </w:tcBorders>
            <w:hideMark/>
          </w:tcPr>
          <w:p w14:paraId="04E6ADF2"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0.34</w:t>
            </w:r>
          </w:p>
        </w:tc>
      </w:tr>
      <w:tr w:rsidR="00743C26" w:rsidRPr="005C680C" w14:paraId="0AA22A02"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78723480"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73072910</w:t>
            </w:r>
          </w:p>
        </w:tc>
        <w:tc>
          <w:tcPr>
            <w:tcW w:w="7983" w:type="dxa"/>
            <w:tcBorders>
              <w:top w:val="nil"/>
              <w:left w:val="nil"/>
              <w:bottom w:val="single" w:sz="4" w:space="0" w:color="auto"/>
              <w:right w:val="single" w:sz="4" w:space="0" w:color="auto"/>
            </w:tcBorders>
            <w:hideMark/>
          </w:tcPr>
          <w:p w14:paraId="5055066A"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Threaded tube or pipe fittings of stainless steel (excl. cast products, flanges, elbows, bends and sleeves)</w:t>
            </w:r>
          </w:p>
        </w:tc>
        <w:tc>
          <w:tcPr>
            <w:tcW w:w="1060" w:type="dxa"/>
            <w:tcBorders>
              <w:top w:val="nil"/>
              <w:left w:val="nil"/>
              <w:bottom w:val="single" w:sz="4" w:space="0" w:color="auto"/>
              <w:right w:val="single" w:sz="4" w:space="0" w:color="auto"/>
            </w:tcBorders>
            <w:hideMark/>
          </w:tcPr>
          <w:p w14:paraId="68E3EA58"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0.44</w:t>
            </w:r>
          </w:p>
        </w:tc>
      </w:tr>
      <w:tr w:rsidR="00743C26" w:rsidRPr="005C680C" w14:paraId="39F34566"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0A3241C2"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73072980</w:t>
            </w:r>
          </w:p>
        </w:tc>
        <w:tc>
          <w:tcPr>
            <w:tcW w:w="7983" w:type="dxa"/>
            <w:tcBorders>
              <w:top w:val="nil"/>
              <w:left w:val="nil"/>
              <w:bottom w:val="single" w:sz="4" w:space="0" w:color="auto"/>
              <w:right w:val="single" w:sz="4" w:space="0" w:color="auto"/>
            </w:tcBorders>
            <w:hideMark/>
          </w:tcPr>
          <w:p w14:paraId="45115757"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Tube or pipe fittings of stainless steel (excl. cast, threaded, butt welding fittings and flanges)</w:t>
            </w:r>
          </w:p>
        </w:tc>
        <w:tc>
          <w:tcPr>
            <w:tcW w:w="1060" w:type="dxa"/>
            <w:tcBorders>
              <w:top w:val="nil"/>
              <w:left w:val="nil"/>
              <w:bottom w:val="single" w:sz="4" w:space="0" w:color="auto"/>
              <w:right w:val="single" w:sz="4" w:space="0" w:color="auto"/>
            </w:tcBorders>
            <w:hideMark/>
          </w:tcPr>
          <w:p w14:paraId="4550705C"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0.41</w:t>
            </w:r>
          </w:p>
        </w:tc>
      </w:tr>
      <w:tr w:rsidR="00BB27B6" w:rsidRPr="005C680C" w14:paraId="5E1F9A22"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44BA3AF0"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73079100</w:t>
            </w:r>
          </w:p>
        </w:tc>
        <w:tc>
          <w:tcPr>
            <w:tcW w:w="7983" w:type="dxa"/>
            <w:tcBorders>
              <w:top w:val="nil"/>
              <w:left w:val="nil"/>
              <w:bottom w:val="single" w:sz="4" w:space="0" w:color="auto"/>
              <w:right w:val="single" w:sz="4" w:space="0" w:color="auto"/>
            </w:tcBorders>
            <w:hideMark/>
          </w:tcPr>
          <w:p w14:paraId="3773DDB5"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Flanges of iron or steel (excl. cast or stainless products)</w:t>
            </w:r>
          </w:p>
        </w:tc>
        <w:tc>
          <w:tcPr>
            <w:tcW w:w="1060" w:type="dxa"/>
            <w:tcBorders>
              <w:top w:val="nil"/>
              <w:left w:val="nil"/>
              <w:bottom w:val="single" w:sz="4" w:space="0" w:color="auto"/>
              <w:right w:val="single" w:sz="4" w:space="0" w:color="auto"/>
            </w:tcBorders>
            <w:hideMark/>
          </w:tcPr>
          <w:p w14:paraId="730D3E65"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0.87</w:t>
            </w:r>
          </w:p>
        </w:tc>
      </w:tr>
      <w:tr w:rsidR="00BB27B6" w:rsidRPr="005C680C" w14:paraId="2919F91C"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7D68E47D"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73079210</w:t>
            </w:r>
          </w:p>
        </w:tc>
        <w:tc>
          <w:tcPr>
            <w:tcW w:w="7983" w:type="dxa"/>
            <w:tcBorders>
              <w:top w:val="nil"/>
              <w:left w:val="nil"/>
              <w:bottom w:val="single" w:sz="4" w:space="0" w:color="auto"/>
              <w:right w:val="single" w:sz="4" w:space="0" w:color="auto"/>
            </w:tcBorders>
            <w:hideMark/>
          </w:tcPr>
          <w:p w14:paraId="3C127CF5"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Sleeves of iron or steel, threaded (excl. cast or of stainless steel)</w:t>
            </w:r>
          </w:p>
        </w:tc>
        <w:tc>
          <w:tcPr>
            <w:tcW w:w="1060" w:type="dxa"/>
            <w:tcBorders>
              <w:top w:val="nil"/>
              <w:left w:val="nil"/>
              <w:bottom w:val="single" w:sz="4" w:space="0" w:color="auto"/>
              <w:right w:val="single" w:sz="4" w:space="0" w:color="auto"/>
            </w:tcBorders>
            <w:hideMark/>
          </w:tcPr>
          <w:p w14:paraId="2C508C0F"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0.92</w:t>
            </w:r>
          </w:p>
        </w:tc>
      </w:tr>
      <w:tr w:rsidR="00BB27B6" w:rsidRPr="005C680C" w14:paraId="30813DEF"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647682F5"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73079290</w:t>
            </w:r>
          </w:p>
        </w:tc>
        <w:tc>
          <w:tcPr>
            <w:tcW w:w="7983" w:type="dxa"/>
            <w:tcBorders>
              <w:top w:val="nil"/>
              <w:left w:val="nil"/>
              <w:bottom w:val="single" w:sz="4" w:space="0" w:color="auto"/>
              <w:right w:val="single" w:sz="4" w:space="0" w:color="auto"/>
            </w:tcBorders>
            <w:hideMark/>
          </w:tcPr>
          <w:p w14:paraId="318ADE67"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Elbows and bends, of iron or steel, threaded (excl. cast or of stainless steel)</w:t>
            </w:r>
          </w:p>
        </w:tc>
        <w:tc>
          <w:tcPr>
            <w:tcW w:w="1060" w:type="dxa"/>
            <w:tcBorders>
              <w:top w:val="nil"/>
              <w:left w:val="nil"/>
              <w:bottom w:val="single" w:sz="4" w:space="0" w:color="auto"/>
              <w:right w:val="single" w:sz="4" w:space="0" w:color="auto"/>
            </w:tcBorders>
            <w:hideMark/>
          </w:tcPr>
          <w:p w14:paraId="3782D063"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0.63</w:t>
            </w:r>
          </w:p>
        </w:tc>
      </w:tr>
      <w:tr w:rsidR="00BB27B6" w:rsidRPr="005C680C" w14:paraId="45903FA7"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6931B6BD"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73079311</w:t>
            </w:r>
          </w:p>
        </w:tc>
        <w:tc>
          <w:tcPr>
            <w:tcW w:w="7983" w:type="dxa"/>
            <w:tcBorders>
              <w:top w:val="nil"/>
              <w:left w:val="nil"/>
              <w:bottom w:val="single" w:sz="4" w:space="0" w:color="auto"/>
              <w:right w:val="single" w:sz="4" w:space="0" w:color="auto"/>
            </w:tcBorders>
            <w:hideMark/>
          </w:tcPr>
          <w:p w14:paraId="333C645A"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Butt welding elbows and bends, of iron or steel, with greatest external diameter &lt;= 609,6 mm (excl. cast iron or stainless steel products)</w:t>
            </w:r>
          </w:p>
        </w:tc>
        <w:tc>
          <w:tcPr>
            <w:tcW w:w="1060" w:type="dxa"/>
            <w:tcBorders>
              <w:top w:val="nil"/>
              <w:left w:val="nil"/>
              <w:bottom w:val="single" w:sz="4" w:space="0" w:color="auto"/>
              <w:right w:val="single" w:sz="4" w:space="0" w:color="auto"/>
            </w:tcBorders>
            <w:hideMark/>
          </w:tcPr>
          <w:p w14:paraId="2EE2958E"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0.54</w:t>
            </w:r>
          </w:p>
        </w:tc>
      </w:tr>
      <w:tr w:rsidR="00743C26" w:rsidRPr="005C680C" w14:paraId="3CB54409"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49E6C60E"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73079319</w:t>
            </w:r>
          </w:p>
        </w:tc>
        <w:tc>
          <w:tcPr>
            <w:tcW w:w="7983" w:type="dxa"/>
            <w:tcBorders>
              <w:top w:val="nil"/>
              <w:left w:val="nil"/>
              <w:bottom w:val="single" w:sz="4" w:space="0" w:color="auto"/>
              <w:right w:val="single" w:sz="4" w:space="0" w:color="auto"/>
            </w:tcBorders>
            <w:hideMark/>
          </w:tcPr>
          <w:p w14:paraId="3548DF81"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Butt welding fittings of iron or steel, with greatest external diameter &lt;= 609,6 mm (excl. cast iron or stainless steel products, elbows, bends and flanges)</w:t>
            </w:r>
          </w:p>
        </w:tc>
        <w:tc>
          <w:tcPr>
            <w:tcW w:w="1060" w:type="dxa"/>
            <w:tcBorders>
              <w:top w:val="nil"/>
              <w:left w:val="nil"/>
              <w:bottom w:val="single" w:sz="4" w:space="0" w:color="auto"/>
              <w:right w:val="single" w:sz="4" w:space="0" w:color="auto"/>
            </w:tcBorders>
            <w:hideMark/>
          </w:tcPr>
          <w:p w14:paraId="47B3183A"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0.38</w:t>
            </w:r>
          </w:p>
        </w:tc>
      </w:tr>
      <w:tr w:rsidR="00BB27B6" w:rsidRPr="005C680C" w14:paraId="2B484C75"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10FFD461"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73079391</w:t>
            </w:r>
          </w:p>
        </w:tc>
        <w:tc>
          <w:tcPr>
            <w:tcW w:w="7983" w:type="dxa"/>
            <w:tcBorders>
              <w:top w:val="nil"/>
              <w:left w:val="nil"/>
              <w:bottom w:val="single" w:sz="4" w:space="0" w:color="auto"/>
              <w:right w:val="single" w:sz="4" w:space="0" w:color="auto"/>
            </w:tcBorders>
            <w:hideMark/>
          </w:tcPr>
          <w:p w14:paraId="41834F2D"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Butt welding elbows and bends, of iron or steel, with greatest external diameter &gt; 609,6 mm (excl. cast iron or stainless steel products)</w:t>
            </w:r>
          </w:p>
        </w:tc>
        <w:tc>
          <w:tcPr>
            <w:tcW w:w="1060" w:type="dxa"/>
            <w:tcBorders>
              <w:top w:val="nil"/>
              <w:left w:val="nil"/>
              <w:bottom w:val="single" w:sz="4" w:space="0" w:color="auto"/>
              <w:right w:val="single" w:sz="4" w:space="0" w:color="auto"/>
            </w:tcBorders>
            <w:hideMark/>
          </w:tcPr>
          <w:p w14:paraId="65814531"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0.73</w:t>
            </w:r>
          </w:p>
        </w:tc>
      </w:tr>
      <w:tr w:rsidR="00743C26" w:rsidRPr="005C680C" w14:paraId="73F0E7ED"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0FA9EE50"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73079399</w:t>
            </w:r>
          </w:p>
        </w:tc>
        <w:tc>
          <w:tcPr>
            <w:tcW w:w="7983" w:type="dxa"/>
            <w:tcBorders>
              <w:top w:val="nil"/>
              <w:left w:val="nil"/>
              <w:bottom w:val="single" w:sz="4" w:space="0" w:color="auto"/>
              <w:right w:val="single" w:sz="4" w:space="0" w:color="auto"/>
            </w:tcBorders>
            <w:hideMark/>
          </w:tcPr>
          <w:p w14:paraId="05282352"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Butt welding fittings of iron or steel, with greatest external diameter &gt; 609,6 mm (excl. cast iron or stainless steel products, elbows, bends and flanges)</w:t>
            </w:r>
          </w:p>
        </w:tc>
        <w:tc>
          <w:tcPr>
            <w:tcW w:w="1060" w:type="dxa"/>
            <w:tcBorders>
              <w:top w:val="nil"/>
              <w:left w:val="nil"/>
              <w:bottom w:val="single" w:sz="4" w:space="0" w:color="auto"/>
              <w:right w:val="single" w:sz="4" w:space="0" w:color="auto"/>
            </w:tcBorders>
            <w:hideMark/>
          </w:tcPr>
          <w:p w14:paraId="6FDFB35D"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0.49</w:t>
            </w:r>
          </w:p>
        </w:tc>
      </w:tr>
      <w:tr w:rsidR="00BB27B6" w:rsidRPr="005C680C" w14:paraId="12268F40"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7BFE53B9"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73079910</w:t>
            </w:r>
          </w:p>
        </w:tc>
        <w:tc>
          <w:tcPr>
            <w:tcW w:w="7983" w:type="dxa"/>
            <w:tcBorders>
              <w:top w:val="nil"/>
              <w:left w:val="nil"/>
              <w:bottom w:val="single" w:sz="4" w:space="0" w:color="auto"/>
              <w:right w:val="single" w:sz="4" w:space="0" w:color="auto"/>
            </w:tcBorders>
            <w:hideMark/>
          </w:tcPr>
          <w:p w14:paraId="66DEDE4F"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Threaded tube or pipe fittings, of iron or steel (excl. cast iron or stainless steel products, flanges, elbows, bends and sleeves)</w:t>
            </w:r>
          </w:p>
        </w:tc>
        <w:tc>
          <w:tcPr>
            <w:tcW w:w="1060" w:type="dxa"/>
            <w:tcBorders>
              <w:top w:val="nil"/>
              <w:left w:val="nil"/>
              <w:bottom w:val="single" w:sz="4" w:space="0" w:color="auto"/>
              <w:right w:val="single" w:sz="4" w:space="0" w:color="auto"/>
            </w:tcBorders>
            <w:hideMark/>
          </w:tcPr>
          <w:p w14:paraId="0F037184"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0.70</w:t>
            </w:r>
          </w:p>
        </w:tc>
      </w:tr>
      <w:tr w:rsidR="00BB27B6" w:rsidRPr="005C680C" w14:paraId="629A8114"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6C5249DD"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73079980</w:t>
            </w:r>
          </w:p>
        </w:tc>
        <w:tc>
          <w:tcPr>
            <w:tcW w:w="7983" w:type="dxa"/>
            <w:tcBorders>
              <w:top w:val="nil"/>
              <w:left w:val="nil"/>
              <w:bottom w:val="single" w:sz="4" w:space="0" w:color="auto"/>
              <w:right w:val="single" w:sz="4" w:space="0" w:color="auto"/>
            </w:tcBorders>
            <w:hideMark/>
          </w:tcPr>
          <w:p w14:paraId="2BE8854B"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Tube or pipe fittings, of iron or steel (excl. of cast iron or stainless steel, threaded, butt welding fittings, and flanges)</w:t>
            </w:r>
          </w:p>
        </w:tc>
        <w:tc>
          <w:tcPr>
            <w:tcW w:w="1060" w:type="dxa"/>
            <w:tcBorders>
              <w:top w:val="nil"/>
              <w:left w:val="nil"/>
              <w:bottom w:val="single" w:sz="4" w:space="0" w:color="auto"/>
              <w:right w:val="single" w:sz="4" w:space="0" w:color="auto"/>
            </w:tcBorders>
            <w:hideMark/>
          </w:tcPr>
          <w:p w14:paraId="124E5834"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0.61</w:t>
            </w:r>
          </w:p>
        </w:tc>
      </w:tr>
      <w:tr w:rsidR="00743C26" w:rsidRPr="005C680C" w14:paraId="44A71135" w14:textId="77777777" w:rsidTr="00A46DBB">
        <w:trPr>
          <w:trHeight w:val="900"/>
        </w:trPr>
        <w:tc>
          <w:tcPr>
            <w:tcW w:w="1057" w:type="dxa"/>
            <w:tcBorders>
              <w:top w:val="nil"/>
              <w:left w:val="single" w:sz="4" w:space="0" w:color="auto"/>
              <w:bottom w:val="single" w:sz="4" w:space="0" w:color="auto"/>
              <w:right w:val="single" w:sz="4" w:space="0" w:color="auto"/>
            </w:tcBorders>
            <w:vAlign w:val="center"/>
            <w:hideMark/>
          </w:tcPr>
          <w:p w14:paraId="5C56D353"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73110013</w:t>
            </w:r>
          </w:p>
        </w:tc>
        <w:tc>
          <w:tcPr>
            <w:tcW w:w="7983" w:type="dxa"/>
            <w:tcBorders>
              <w:top w:val="nil"/>
              <w:left w:val="nil"/>
              <w:bottom w:val="single" w:sz="4" w:space="0" w:color="auto"/>
              <w:right w:val="single" w:sz="4" w:space="0" w:color="auto"/>
            </w:tcBorders>
            <w:hideMark/>
          </w:tcPr>
          <w:p w14:paraId="09F6090C"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Containers of iron or steel, seamless, for compressed or liquefied gas, for a pressure &gt;= 165 bar, of a capacity &gt;= 20 l to &lt;= 50 l (excl. containers specifically constructed or equipped for one or more types of transport)</w:t>
            </w:r>
          </w:p>
        </w:tc>
        <w:tc>
          <w:tcPr>
            <w:tcW w:w="1060" w:type="dxa"/>
            <w:tcBorders>
              <w:top w:val="nil"/>
              <w:left w:val="nil"/>
              <w:bottom w:val="single" w:sz="4" w:space="0" w:color="auto"/>
              <w:right w:val="single" w:sz="4" w:space="0" w:color="auto"/>
            </w:tcBorders>
            <w:hideMark/>
          </w:tcPr>
          <w:p w14:paraId="3EC5C86F"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0.35</w:t>
            </w:r>
          </w:p>
        </w:tc>
      </w:tr>
      <w:tr w:rsidR="00BB27B6" w:rsidRPr="005C680C" w14:paraId="69A0E2B4"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584BF1A6"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73181100</w:t>
            </w:r>
          </w:p>
        </w:tc>
        <w:tc>
          <w:tcPr>
            <w:tcW w:w="7983" w:type="dxa"/>
            <w:tcBorders>
              <w:top w:val="nil"/>
              <w:left w:val="nil"/>
              <w:bottom w:val="single" w:sz="4" w:space="0" w:color="auto"/>
              <w:right w:val="single" w:sz="4" w:space="0" w:color="auto"/>
            </w:tcBorders>
            <w:hideMark/>
          </w:tcPr>
          <w:p w14:paraId="74824D82"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Coach screws of iron or steel</w:t>
            </w:r>
          </w:p>
        </w:tc>
        <w:tc>
          <w:tcPr>
            <w:tcW w:w="1060" w:type="dxa"/>
            <w:tcBorders>
              <w:top w:val="nil"/>
              <w:left w:val="nil"/>
              <w:bottom w:val="single" w:sz="4" w:space="0" w:color="auto"/>
              <w:right w:val="single" w:sz="4" w:space="0" w:color="auto"/>
            </w:tcBorders>
            <w:hideMark/>
          </w:tcPr>
          <w:p w14:paraId="45E47D1F"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0.61</w:t>
            </w:r>
          </w:p>
        </w:tc>
      </w:tr>
      <w:tr w:rsidR="00BB27B6" w:rsidRPr="005C680C" w14:paraId="3D17AF5B"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5C26086D"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73181300</w:t>
            </w:r>
          </w:p>
        </w:tc>
        <w:tc>
          <w:tcPr>
            <w:tcW w:w="7983" w:type="dxa"/>
            <w:tcBorders>
              <w:top w:val="nil"/>
              <w:left w:val="nil"/>
              <w:bottom w:val="single" w:sz="4" w:space="0" w:color="auto"/>
              <w:right w:val="single" w:sz="4" w:space="0" w:color="auto"/>
            </w:tcBorders>
            <w:hideMark/>
          </w:tcPr>
          <w:p w14:paraId="3A1E3329"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Screw hooks and screw rings, of iron or steel</w:t>
            </w:r>
          </w:p>
        </w:tc>
        <w:tc>
          <w:tcPr>
            <w:tcW w:w="1060" w:type="dxa"/>
            <w:tcBorders>
              <w:top w:val="nil"/>
              <w:left w:val="nil"/>
              <w:bottom w:val="single" w:sz="4" w:space="0" w:color="auto"/>
              <w:right w:val="single" w:sz="4" w:space="0" w:color="auto"/>
            </w:tcBorders>
            <w:hideMark/>
          </w:tcPr>
          <w:p w14:paraId="339D8583"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0.85</w:t>
            </w:r>
          </w:p>
        </w:tc>
      </w:tr>
      <w:tr w:rsidR="00BB27B6" w:rsidRPr="005C680C" w14:paraId="1CFC0B56"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50AF1BCF"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73181410</w:t>
            </w:r>
          </w:p>
        </w:tc>
        <w:tc>
          <w:tcPr>
            <w:tcW w:w="7983" w:type="dxa"/>
            <w:tcBorders>
              <w:top w:val="nil"/>
              <w:left w:val="nil"/>
              <w:bottom w:val="single" w:sz="4" w:space="0" w:color="auto"/>
              <w:right w:val="single" w:sz="4" w:space="0" w:color="auto"/>
            </w:tcBorders>
            <w:hideMark/>
          </w:tcPr>
          <w:p w14:paraId="68CAC7A9"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Self-tapping screws, of stainless steel (excl. wood screws)</w:t>
            </w:r>
          </w:p>
        </w:tc>
        <w:tc>
          <w:tcPr>
            <w:tcW w:w="1060" w:type="dxa"/>
            <w:tcBorders>
              <w:top w:val="nil"/>
              <w:left w:val="nil"/>
              <w:bottom w:val="single" w:sz="4" w:space="0" w:color="auto"/>
              <w:right w:val="single" w:sz="4" w:space="0" w:color="auto"/>
            </w:tcBorders>
            <w:hideMark/>
          </w:tcPr>
          <w:p w14:paraId="465A9B13"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0.55</w:t>
            </w:r>
          </w:p>
        </w:tc>
      </w:tr>
      <w:tr w:rsidR="00743C26" w:rsidRPr="005C680C" w14:paraId="65F0DC0B"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0C4B9725"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73181535</w:t>
            </w:r>
          </w:p>
        </w:tc>
        <w:tc>
          <w:tcPr>
            <w:tcW w:w="7983" w:type="dxa"/>
            <w:tcBorders>
              <w:top w:val="nil"/>
              <w:left w:val="nil"/>
              <w:bottom w:val="single" w:sz="4" w:space="0" w:color="auto"/>
              <w:right w:val="single" w:sz="4" w:space="0" w:color="auto"/>
            </w:tcBorders>
            <w:hideMark/>
          </w:tcPr>
          <w:p w14:paraId="4AF2230F"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Screws and bolts, of stainless steel "whether or not with their nuts and washers", without heads (excl. screws and bolts for fixing railway track construction material)</w:t>
            </w:r>
          </w:p>
        </w:tc>
        <w:tc>
          <w:tcPr>
            <w:tcW w:w="1060" w:type="dxa"/>
            <w:tcBorders>
              <w:top w:val="nil"/>
              <w:left w:val="nil"/>
              <w:bottom w:val="single" w:sz="4" w:space="0" w:color="auto"/>
              <w:right w:val="single" w:sz="4" w:space="0" w:color="auto"/>
            </w:tcBorders>
            <w:hideMark/>
          </w:tcPr>
          <w:p w14:paraId="4637CE44"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0.42</w:t>
            </w:r>
          </w:p>
        </w:tc>
      </w:tr>
      <w:tr w:rsidR="00743C26" w:rsidRPr="005C680C" w14:paraId="1581130B" w14:textId="77777777" w:rsidTr="00A46DBB">
        <w:trPr>
          <w:trHeight w:val="900"/>
        </w:trPr>
        <w:tc>
          <w:tcPr>
            <w:tcW w:w="1057" w:type="dxa"/>
            <w:tcBorders>
              <w:top w:val="nil"/>
              <w:left w:val="single" w:sz="4" w:space="0" w:color="auto"/>
              <w:bottom w:val="single" w:sz="4" w:space="0" w:color="auto"/>
              <w:right w:val="single" w:sz="4" w:space="0" w:color="auto"/>
            </w:tcBorders>
            <w:vAlign w:val="center"/>
            <w:hideMark/>
          </w:tcPr>
          <w:p w14:paraId="64368DED"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73181548</w:t>
            </w:r>
          </w:p>
        </w:tc>
        <w:tc>
          <w:tcPr>
            <w:tcW w:w="7983" w:type="dxa"/>
            <w:tcBorders>
              <w:top w:val="nil"/>
              <w:left w:val="nil"/>
              <w:bottom w:val="single" w:sz="4" w:space="0" w:color="auto"/>
              <w:right w:val="single" w:sz="4" w:space="0" w:color="auto"/>
            </w:tcBorders>
            <w:hideMark/>
          </w:tcPr>
          <w:p w14:paraId="1BEFA793"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Screws and bolts, of iron or steel other than stainless "whether or not with their nuts and washers", without heads, with a tensile strength of &gt;= 800 MPa (excl. screws and bolts for fixing railway track construction material)</w:t>
            </w:r>
          </w:p>
        </w:tc>
        <w:tc>
          <w:tcPr>
            <w:tcW w:w="1060" w:type="dxa"/>
            <w:tcBorders>
              <w:top w:val="nil"/>
              <w:left w:val="nil"/>
              <w:bottom w:val="single" w:sz="4" w:space="0" w:color="auto"/>
              <w:right w:val="single" w:sz="4" w:space="0" w:color="auto"/>
            </w:tcBorders>
            <w:hideMark/>
          </w:tcPr>
          <w:p w14:paraId="53FC6A26"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0.49</w:t>
            </w:r>
          </w:p>
        </w:tc>
      </w:tr>
      <w:tr w:rsidR="00743C26" w:rsidRPr="005C680C" w14:paraId="778A67F8" w14:textId="77777777" w:rsidTr="00A46DBB">
        <w:trPr>
          <w:trHeight w:val="900"/>
        </w:trPr>
        <w:tc>
          <w:tcPr>
            <w:tcW w:w="1057" w:type="dxa"/>
            <w:tcBorders>
              <w:top w:val="nil"/>
              <w:left w:val="single" w:sz="4" w:space="0" w:color="auto"/>
              <w:bottom w:val="single" w:sz="4" w:space="0" w:color="auto"/>
              <w:right w:val="single" w:sz="4" w:space="0" w:color="auto"/>
            </w:tcBorders>
            <w:vAlign w:val="center"/>
            <w:hideMark/>
          </w:tcPr>
          <w:p w14:paraId="13C43B4E"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73181568</w:t>
            </w:r>
          </w:p>
        </w:tc>
        <w:tc>
          <w:tcPr>
            <w:tcW w:w="7983" w:type="dxa"/>
            <w:tcBorders>
              <w:top w:val="nil"/>
              <w:left w:val="nil"/>
              <w:bottom w:val="single" w:sz="4" w:space="0" w:color="auto"/>
              <w:right w:val="single" w:sz="4" w:space="0" w:color="auto"/>
            </w:tcBorders>
            <w:hideMark/>
          </w:tcPr>
          <w:p w14:paraId="6A23DC8D"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Hexagonal-socket head screws and bolts, of iron or steel other than stainless "whether or not with their nuts and washers" (excl. wood screws, self-tapping screws and screws and bolts for fixing railway track construction material)</w:t>
            </w:r>
          </w:p>
        </w:tc>
        <w:tc>
          <w:tcPr>
            <w:tcW w:w="1060" w:type="dxa"/>
            <w:tcBorders>
              <w:top w:val="nil"/>
              <w:left w:val="nil"/>
              <w:bottom w:val="single" w:sz="4" w:space="0" w:color="auto"/>
              <w:right w:val="single" w:sz="4" w:space="0" w:color="auto"/>
            </w:tcBorders>
            <w:hideMark/>
          </w:tcPr>
          <w:p w14:paraId="7CD0F66B"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0.43</w:t>
            </w:r>
          </w:p>
        </w:tc>
      </w:tr>
      <w:tr w:rsidR="00BB27B6" w:rsidRPr="005C680C" w14:paraId="5CC7ECBB" w14:textId="77777777" w:rsidTr="00A46DBB">
        <w:trPr>
          <w:trHeight w:val="900"/>
        </w:trPr>
        <w:tc>
          <w:tcPr>
            <w:tcW w:w="1057" w:type="dxa"/>
            <w:tcBorders>
              <w:top w:val="nil"/>
              <w:left w:val="single" w:sz="4" w:space="0" w:color="auto"/>
              <w:bottom w:val="single" w:sz="4" w:space="0" w:color="auto"/>
              <w:right w:val="single" w:sz="4" w:space="0" w:color="auto"/>
            </w:tcBorders>
            <w:vAlign w:val="center"/>
            <w:hideMark/>
          </w:tcPr>
          <w:p w14:paraId="13C3941A"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73181575</w:t>
            </w:r>
          </w:p>
        </w:tc>
        <w:tc>
          <w:tcPr>
            <w:tcW w:w="7983" w:type="dxa"/>
            <w:tcBorders>
              <w:top w:val="nil"/>
              <w:left w:val="nil"/>
              <w:bottom w:val="single" w:sz="4" w:space="0" w:color="auto"/>
              <w:right w:val="single" w:sz="4" w:space="0" w:color="auto"/>
            </w:tcBorders>
            <w:hideMark/>
          </w:tcPr>
          <w:p w14:paraId="5115586D"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Hexagon screws and bolts, of stainless steel "whether or not with their nuts and washers" (excl. with socket head, wood screws, self-tapping screws and screws and bolts for fixing railway track construction material)</w:t>
            </w:r>
          </w:p>
        </w:tc>
        <w:tc>
          <w:tcPr>
            <w:tcW w:w="1060" w:type="dxa"/>
            <w:tcBorders>
              <w:top w:val="nil"/>
              <w:left w:val="nil"/>
              <w:bottom w:val="single" w:sz="4" w:space="0" w:color="auto"/>
              <w:right w:val="single" w:sz="4" w:space="0" w:color="auto"/>
            </w:tcBorders>
            <w:hideMark/>
          </w:tcPr>
          <w:p w14:paraId="3AEE232B"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0.76</w:t>
            </w:r>
          </w:p>
        </w:tc>
      </w:tr>
      <w:tr w:rsidR="00BB27B6" w:rsidRPr="005C680C" w14:paraId="702AB1E5" w14:textId="77777777" w:rsidTr="00A46DBB">
        <w:trPr>
          <w:trHeight w:val="1200"/>
        </w:trPr>
        <w:tc>
          <w:tcPr>
            <w:tcW w:w="1057" w:type="dxa"/>
            <w:tcBorders>
              <w:top w:val="nil"/>
              <w:left w:val="single" w:sz="4" w:space="0" w:color="auto"/>
              <w:bottom w:val="single" w:sz="4" w:space="0" w:color="auto"/>
              <w:right w:val="single" w:sz="4" w:space="0" w:color="auto"/>
            </w:tcBorders>
            <w:vAlign w:val="center"/>
            <w:hideMark/>
          </w:tcPr>
          <w:p w14:paraId="7CD1A00A"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73181588</w:t>
            </w:r>
          </w:p>
        </w:tc>
        <w:tc>
          <w:tcPr>
            <w:tcW w:w="7983" w:type="dxa"/>
            <w:tcBorders>
              <w:top w:val="nil"/>
              <w:left w:val="nil"/>
              <w:bottom w:val="single" w:sz="4" w:space="0" w:color="auto"/>
              <w:right w:val="single" w:sz="4" w:space="0" w:color="auto"/>
            </w:tcBorders>
            <w:hideMark/>
          </w:tcPr>
          <w:p w14:paraId="10F5A53C"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Hexagon screws and bolts, of iron or steel other than stainless "whether or not with their nuts and washers", with a tensile strength of =&gt; 800 MPa (excl. with socket head, wood screws, self-tapping screws and screws and bolts for fixing railway track construction material)</w:t>
            </w:r>
          </w:p>
        </w:tc>
        <w:tc>
          <w:tcPr>
            <w:tcW w:w="1060" w:type="dxa"/>
            <w:tcBorders>
              <w:top w:val="nil"/>
              <w:left w:val="nil"/>
              <w:bottom w:val="single" w:sz="4" w:space="0" w:color="auto"/>
              <w:right w:val="single" w:sz="4" w:space="0" w:color="auto"/>
            </w:tcBorders>
            <w:hideMark/>
          </w:tcPr>
          <w:p w14:paraId="3AD09D2E"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0.57</w:t>
            </w:r>
          </w:p>
        </w:tc>
      </w:tr>
      <w:tr w:rsidR="00743C26" w:rsidRPr="005C680C" w14:paraId="4C5E3C10" w14:textId="77777777" w:rsidTr="00A46DBB">
        <w:trPr>
          <w:trHeight w:val="1200"/>
        </w:trPr>
        <w:tc>
          <w:tcPr>
            <w:tcW w:w="1057" w:type="dxa"/>
            <w:tcBorders>
              <w:top w:val="nil"/>
              <w:left w:val="single" w:sz="4" w:space="0" w:color="auto"/>
              <w:bottom w:val="single" w:sz="4" w:space="0" w:color="auto"/>
              <w:right w:val="single" w:sz="4" w:space="0" w:color="auto"/>
            </w:tcBorders>
            <w:vAlign w:val="center"/>
            <w:hideMark/>
          </w:tcPr>
          <w:p w14:paraId="30F78345"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73181595</w:t>
            </w:r>
          </w:p>
        </w:tc>
        <w:tc>
          <w:tcPr>
            <w:tcW w:w="7983" w:type="dxa"/>
            <w:tcBorders>
              <w:top w:val="nil"/>
              <w:left w:val="nil"/>
              <w:bottom w:val="single" w:sz="4" w:space="0" w:color="auto"/>
              <w:right w:val="single" w:sz="4" w:space="0" w:color="auto"/>
            </w:tcBorders>
            <w:hideMark/>
          </w:tcPr>
          <w:p w14:paraId="2273C942"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Screws and bolts, of iron or steel "whether or not with their nuts and washers", with heads (excl. with slotted, cross-recessed or hexagonal head; wood screws, self-tapping screws and screws and bolts for fixing railway track construction material, screw hooks and screw rings)</w:t>
            </w:r>
          </w:p>
        </w:tc>
        <w:tc>
          <w:tcPr>
            <w:tcW w:w="1060" w:type="dxa"/>
            <w:tcBorders>
              <w:top w:val="nil"/>
              <w:left w:val="nil"/>
              <w:bottom w:val="single" w:sz="4" w:space="0" w:color="auto"/>
              <w:right w:val="single" w:sz="4" w:space="0" w:color="auto"/>
            </w:tcBorders>
            <w:hideMark/>
          </w:tcPr>
          <w:p w14:paraId="4EFC9EA0"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0.47</w:t>
            </w:r>
          </w:p>
        </w:tc>
      </w:tr>
      <w:tr w:rsidR="00BB27B6" w:rsidRPr="005C680C" w14:paraId="7E8B90AE"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563306C8"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73181631</w:t>
            </w:r>
          </w:p>
        </w:tc>
        <w:tc>
          <w:tcPr>
            <w:tcW w:w="7983" w:type="dxa"/>
            <w:tcBorders>
              <w:top w:val="nil"/>
              <w:left w:val="nil"/>
              <w:bottom w:val="single" w:sz="4" w:space="0" w:color="auto"/>
              <w:right w:val="single" w:sz="4" w:space="0" w:color="auto"/>
            </w:tcBorders>
            <w:hideMark/>
          </w:tcPr>
          <w:p w14:paraId="7E97FFBE"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Blind rivet nuts of stainless steel</w:t>
            </w:r>
          </w:p>
        </w:tc>
        <w:tc>
          <w:tcPr>
            <w:tcW w:w="1060" w:type="dxa"/>
            <w:tcBorders>
              <w:top w:val="nil"/>
              <w:left w:val="nil"/>
              <w:bottom w:val="single" w:sz="4" w:space="0" w:color="auto"/>
              <w:right w:val="single" w:sz="4" w:space="0" w:color="auto"/>
            </w:tcBorders>
            <w:hideMark/>
          </w:tcPr>
          <w:p w14:paraId="283B1B1B"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1.03</w:t>
            </w:r>
          </w:p>
        </w:tc>
      </w:tr>
      <w:tr w:rsidR="00BB27B6" w:rsidRPr="005C680C" w14:paraId="0CCA96E3"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4B3A540D"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73181639</w:t>
            </w:r>
          </w:p>
        </w:tc>
        <w:tc>
          <w:tcPr>
            <w:tcW w:w="7983" w:type="dxa"/>
            <w:tcBorders>
              <w:top w:val="nil"/>
              <w:left w:val="nil"/>
              <w:bottom w:val="single" w:sz="4" w:space="0" w:color="auto"/>
              <w:right w:val="single" w:sz="4" w:space="0" w:color="auto"/>
            </w:tcBorders>
            <w:hideMark/>
          </w:tcPr>
          <w:p w14:paraId="17B765D8"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Nuts of stainless steel (excl. blind rivet nuts)</w:t>
            </w:r>
          </w:p>
        </w:tc>
        <w:tc>
          <w:tcPr>
            <w:tcW w:w="1060" w:type="dxa"/>
            <w:tcBorders>
              <w:top w:val="nil"/>
              <w:left w:val="nil"/>
              <w:bottom w:val="single" w:sz="4" w:space="0" w:color="auto"/>
              <w:right w:val="single" w:sz="4" w:space="0" w:color="auto"/>
            </w:tcBorders>
            <w:hideMark/>
          </w:tcPr>
          <w:p w14:paraId="71CAD141"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1.24</w:t>
            </w:r>
          </w:p>
        </w:tc>
      </w:tr>
      <w:tr w:rsidR="00743C26" w:rsidRPr="005C680C" w14:paraId="17506274"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530B4813"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73181640</w:t>
            </w:r>
          </w:p>
        </w:tc>
        <w:tc>
          <w:tcPr>
            <w:tcW w:w="7983" w:type="dxa"/>
            <w:tcBorders>
              <w:top w:val="nil"/>
              <w:left w:val="nil"/>
              <w:bottom w:val="single" w:sz="4" w:space="0" w:color="auto"/>
              <w:right w:val="single" w:sz="4" w:space="0" w:color="auto"/>
            </w:tcBorders>
            <w:hideMark/>
          </w:tcPr>
          <w:p w14:paraId="72D8D0EC"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Blind rivet nuts of iron or steel other than stainless</w:t>
            </w:r>
          </w:p>
        </w:tc>
        <w:tc>
          <w:tcPr>
            <w:tcW w:w="1060" w:type="dxa"/>
            <w:tcBorders>
              <w:top w:val="nil"/>
              <w:left w:val="nil"/>
              <w:bottom w:val="single" w:sz="4" w:space="0" w:color="auto"/>
              <w:right w:val="single" w:sz="4" w:space="0" w:color="auto"/>
            </w:tcBorders>
            <w:hideMark/>
          </w:tcPr>
          <w:p w14:paraId="02D3EDA4"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0.49</w:t>
            </w:r>
          </w:p>
        </w:tc>
      </w:tr>
      <w:tr w:rsidR="00BB27B6" w:rsidRPr="005C680C" w14:paraId="6AE45B5F"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01DDC6A0"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73181660</w:t>
            </w:r>
          </w:p>
        </w:tc>
        <w:tc>
          <w:tcPr>
            <w:tcW w:w="7983" w:type="dxa"/>
            <w:tcBorders>
              <w:top w:val="nil"/>
              <w:left w:val="nil"/>
              <w:bottom w:val="single" w:sz="4" w:space="0" w:color="auto"/>
              <w:right w:val="single" w:sz="4" w:space="0" w:color="auto"/>
            </w:tcBorders>
            <w:hideMark/>
          </w:tcPr>
          <w:p w14:paraId="3419A15F"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Self-locking nuts of iron or steel other than stainless</w:t>
            </w:r>
          </w:p>
        </w:tc>
        <w:tc>
          <w:tcPr>
            <w:tcW w:w="1060" w:type="dxa"/>
            <w:tcBorders>
              <w:top w:val="nil"/>
              <w:left w:val="nil"/>
              <w:bottom w:val="single" w:sz="4" w:space="0" w:color="auto"/>
              <w:right w:val="single" w:sz="4" w:space="0" w:color="auto"/>
            </w:tcBorders>
            <w:hideMark/>
          </w:tcPr>
          <w:p w14:paraId="56508AA9"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0.66</w:t>
            </w:r>
          </w:p>
        </w:tc>
      </w:tr>
      <w:tr w:rsidR="00743C26" w:rsidRPr="005C680C" w14:paraId="17E26C76"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55922D84"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73181692</w:t>
            </w:r>
          </w:p>
        </w:tc>
        <w:tc>
          <w:tcPr>
            <w:tcW w:w="7983" w:type="dxa"/>
            <w:tcBorders>
              <w:top w:val="nil"/>
              <w:left w:val="nil"/>
              <w:bottom w:val="single" w:sz="4" w:space="0" w:color="auto"/>
              <w:right w:val="single" w:sz="4" w:space="0" w:color="auto"/>
            </w:tcBorders>
            <w:hideMark/>
          </w:tcPr>
          <w:p w14:paraId="63E91145"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Nuts of iron or steel other than stainless, with an inside diameter &lt;= 12 mm (excl. blind rivet nuts and self-locking nuts)</w:t>
            </w:r>
          </w:p>
        </w:tc>
        <w:tc>
          <w:tcPr>
            <w:tcW w:w="1060" w:type="dxa"/>
            <w:tcBorders>
              <w:top w:val="nil"/>
              <w:left w:val="nil"/>
              <w:bottom w:val="single" w:sz="4" w:space="0" w:color="auto"/>
              <w:right w:val="single" w:sz="4" w:space="0" w:color="auto"/>
            </w:tcBorders>
            <w:hideMark/>
          </w:tcPr>
          <w:p w14:paraId="7F48689E"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0.38</w:t>
            </w:r>
          </w:p>
        </w:tc>
      </w:tr>
      <w:tr w:rsidR="00743C26" w:rsidRPr="005C680C" w14:paraId="086CF4B0" w14:textId="77777777" w:rsidTr="00A46DBB">
        <w:trPr>
          <w:trHeight w:val="600"/>
        </w:trPr>
        <w:tc>
          <w:tcPr>
            <w:tcW w:w="1057" w:type="dxa"/>
            <w:tcBorders>
              <w:top w:val="nil"/>
              <w:left w:val="single" w:sz="4" w:space="0" w:color="auto"/>
              <w:bottom w:val="single" w:sz="4" w:space="0" w:color="auto"/>
              <w:right w:val="single" w:sz="4" w:space="0" w:color="auto"/>
            </w:tcBorders>
            <w:vAlign w:val="center"/>
            <w:hideMark/>
          </w:tcPr>
          <w:p w14:paraId="6467B678"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73181699</w:t>
            </w:r>
          </w:p>
        </w:tc>
        <w:tc>
          <w:tcPr>
            <w:tcW w:w="7983" w:type="dxa"/>
            <w:tcBorders>
              <w:top w:val="nil"/>
              <w:left w:val="nil"/>
              <w:bottom w:val="single" w:sz="4" w:space="0" w:color="auto"/>
              <w:right w:val="single" w:sz="4" w:space="0" w:color="auto"/>
            </w:tcBorders>
            <w:hideMark/>
          </w:tcPr>
          <w:p w14:paraId="79CFFDFF"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Nuts of iron or steel other than stainless, with an inside diameter &gt; 12 mm (excl. blind rivet nuts and self-locking nuts)</w:t>
            </w:r>
          </w:p>
        </w:tc>
        <w:tc>
          <w:tcPr>
            <w:tcW w:w="1060" w:type="dxa"/>
            <w:tcBorders>
              <w:top w:val="nil"/>
              <w:left w:val="nil"/>
              <w:bottom w:val="single" w:sz="4" w:space="0" w:color="auto"/>
              <w:right w:val="single" w:sz="4" w:space="0" w:color="auto"/>
            </w:tcBorders>
            <w:hideMark/>
          </w:tcPr>
          <w:p w14:paraId="3B5008C3"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0.46</w:t>
            </w:r>
          </w:p>
        </w:tc>
      </w:tr>
      <w:tr w:rsidR="00743C26" w:rsidRPr="005C680C" w14:paraId="44A5AB3C"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56F3C13A"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73181900</w:t>
            </w:r>
          </w:p>
        </w:tc>
        <w:tc>
          <w:tcPr>
            <w:tcW w:w="7983" w:type="dxa"/>
            <w:tcBorders>
              <w:top w:val="nil"/>
              <w:left w:val="nil"/>
              <w:bottom w:val="single" w:sz="4" w:space="0" w:color="auto"/>
              <w:right w:val="single" w:sz="4" w:space="0" w:color="auto"/>
            </w:tcBorders>
            <w:hideMark/>
          </w:tcPr>
          <w:p w14:paraId="6048BE3C"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Threaded articles, of iron or steel, n.e.s.</w:t>
            </w:r>
          </w:p>
        </w:tc>
        <w:tc>
          <w:tcPr>
            <w:tcW w:w="1060" w:type="dxa"/>
            <w:tcBorders>
              <w:top w:val="nil"/>
              <w:left w:val="nil"/>
              <w:bottom w:val="single" w:sz="4" w:space="0" w:color="auto"/>
              <w:right w:val="single" w:sz="4" w:space="0" w:color="auto"/>
            </w:tcBorders>
            <w:hideMark/>
          </w:tcPr>
          <w:p w14:paraId="61B700C7"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0.31</w:t>
            </w:r>
          </w:p>
        </w:tc>
      </w:tr>
      <w:tr w:rsidR="00BB27B6" w:rsidRPr="005C680C" w14:paraId="498D6C07"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22A6E794"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73182100</w:t>
            </w:r>
          </w:p>
        </w:tc>
        <w:tc>
          <w:tcPr>
            <w:tcW w:w="7983" w:type="dxa"/>
            <w:tcBorders>
              <w:top w:val="nil"/>
              <w:left w:val="nil"/>
              <w:bottom w:val="single" w:sz="4" w:space="0" w:color="auto"/>
              <w:right w:val="single" w:sz="4" w:space="0" w:color="auto"/>
            </w:tcBorders>
            <w:hideMark/>
          </w:tcPr>
          <w:p w14:paraId="780ED6E1"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Spring washers and other lock washers, of iron or steel</w:t>
            </w:r>
          </w:p>
        </w:tc>
        <w:tc>
          <w:tcPr>
            <w:tcW w:w="1060" w:type="dxa"/>
            <w:tcBorders>
              <w:top w:val="nil"/>
              <w:left w:val="nil"/>
              <w:bottom w:val="single" w:sz="4" w:space="0" w:color="auto"/>
              <w:right w:val="single" w:sz="4" w:space="0" w:color="auto"/>
            </w:tcBorders>
            <w:hideMark/>
          </w:tcPr>
          <w:p w14:paraId="6C5665D4"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0.72</w:t>
            </w:r>
          </w:p>
        </w:tc>
      </w:tr>
      <w:tr w:rsidR="00BB27B6" w:rsidRPr="005C680C" w14:paraId="383C4070"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517625AE"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73182200</w:t>
            </w:r>
          </w:p>
        </w:tc>
        <w:tc>
          <w:tcPr>
            <w:tcW w:w="7983" w:type="dxa"/>
            <w:tcBorders>
              <w:top w:val="nil"/>
              <w:left w:val="nil"/>
              <w:bottom w:val="single" w:sz="4" w:space="0" w:color="auto"/>
              <w:right w:val="single" w:sz="4" w:space="0" w:color="auto"/>
            </w:tcBorders>
            <w:hideMark/>
          </w:tcPr>
          <w:p w14:paraId="3C905595"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Washers of iron or steel (excl. spring washers and other lock washers)</w:t>
            </w:r>
          </w:p>
        </w:tc>
        <w:tc>
          <w:tcPr>
            <w:tcW w:w="1060" w:type="dxa"/>
            <w:tcBorders>
              <w:top w:val="nil"/>
              <w:left w:val="nil"/>
              <w:bottom w:val="single" w:sz="4" w:space="0" w:color="auto"/>
              <w:right w:val="single" w:sz="4" w:space="0" w:color="auto"/>
            </w:tcBorders>
            <w:hideMark/>
          </w:tcPr>
          <w:p w14:paraId="08301903"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0.64</w:t>
            </w:r>
          </w:p>
        </w:tc>
      </w:tr>
      <w:tr w:rsidR="00BB27B6" w:rsidRPr="005C680C" w14:paraId="46F4B5CD"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7A80D2F0"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73182400</w:t>
            </w:r>
          </w:p>
        </w:tc>
        <w:tc>
          <w:tcPr>
            <w:tcW w:w="7983" w:type="dxa"/>
            <w:tcBorders>
              <w:top w:val="nil"/>
              <w:left w:val="nil"/>
              <w:bottom w:val="single" w:sz="4" w:space="0" w:color="auto"/>
              <w:right w:val="single" w:sz="4" w:space="0" w:color="auto"/>
            </w:tcBorders>
            <w:hideMark/>
          </w:tcPr>
          <w:p w14:paraId="3B29419D"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Cotters and cotter pins, of iron or steel</w:t>
            </w:r>
          </w:p>
        </w:tc>
        <w:tc>
          <w:tcPr>
            <w:tcW w:w="1060" w:type="dxa"/>
            <w:tcBorders>
              <w:top w:val="nil"/>
              <w:left w:val="nil"/>
              <w:bottom w:val="single" w:sz="4" w:space="0" w:color="auto"/>
              <w:right w:val="single" w:sz="4" w:space="0" w:color="auto"/>
            </w:tcBorders>
            <w:hideMark/>
          </w:tcPr>
          <w:p w14:paraId="38C70AC3"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2.05</w:t>
            </w:r>
          </w:p>
        </w:tc>
      </w:tr>
      <w:tr w:rsidR="00BB27B6" w:rsidRPr="005C680C" w14:paraId="22FA714A"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34EF66F2"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73182900</w:t>
            </w:r>
          </w:p>
        </w:tc>
        <w:tc>
          <w:tcPr>
            <w:tcW w:w="7983" w:type="dxa"/>
            <w:tcBorders>
              <w:top w:val="nil"/>
              <w:left w:val="nil"/>
              <w:bottom w:val="single" w:sz="4" w:space="0" w:color="auto"/>
              <w:right w:val="single" w:sz="4" w:space="0" w:color="auto"/>
            </w:tcBorders>
            <w:hideMark/>
          </w:tcPr>
          <w:p w14:paraId="5F4D13D9"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Non-threaded articles, of iron or steel</w:t>
            </w:r>
          </w:p>
        </w:tc>
        <w:tc>
          <w:tcPr>
            <w:tcW w:w="1060" w:type="dxa"/>
            <w:tcBorders>
              <w:top w:val="nil"/>
              <w:left w:val="nil"/>
              <w:bottom w:val="single" w:sz="4" w:space="0" w:color="auto"/>
              <w:right w:val="single" w:sz="4" w:space="0" w:color="auto"/>
            </w:tcBorders>
            <w:hideMark/>
          </w:tcPr>
          <w:p w14:paraId="2AFF660B"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1.76</w:t>
            </w:r>
          </w:p>
        </w:tc>
      </w:tr>
      <w:tr w:rsidR="00BB27B6" w:rsidRPr="005C680C" w14:paraId="5652ACD2"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7CD8EDAF"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73269040</w:t>
            </w:r>
          </w:p>
        </w:tc>
        <w:tc>
          <w:tcPr>
            <w:tcW w:w="7983" w:type="dxa"/>
            <w:tcBorders>
              <w:top w:val="nil"/>
              <w:left w:val="nil"/>
              <w:bottom w:val="single" w:sz="4" w:space="0" w:color="auto"/>
              <w:right w:val="single" w:sz="4" w:space="0" w:color="auto"/>
            </w:tcBorders>
            <w:hideMark/>
          </w:tcPr>
          <w:p w14:paraId="29234F8E"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Pallets and similar platforms for handling goods, of iron or steel</w:t>
            </w:r>
          </w:p>
        </w:tc>
        <w:tc>
          <w:tcPr>
            <w:tcW w:w="1060" w:type="dxa"/>
            <w:tcBorders>
              <w:top w:val="nil"/>
              <w:left w:val="nil"/>
              <w:bottom w:val="single" w:sz="4" w:space="0" w:color="auto"/>
              <w:right w:val="single" w:sz="4" w:space="0" w:color="auto"/>
            </w:tcBorders>
            <w:hideMark/>
          </w:tcPr>
          <w:p w14:paraId="4AAFD387"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0.83</w:t>
            </w:r>
          </w:p>
        </w:tc>
      </w:tr>
      <w:tr w:rsidR="00BB27B6" w:rsidRPr="005C680C" w14:paraId="4C6E8709"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3CBCD8C5"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73269050</w:t>
            </w:r>
          </w:p>
        </w:tc>
        <w:tc>
          <w:tcPr>
            <w:tcW w:w="7983" w:type="dxa"/>
            <w:tcBorders>
              <w:top w:val="nil"/>
              <w:left w:val="nil"/>
              <w:bottom w:val="single" w:sz="4" w:space="0" w:color="auto"/>
              <w:right w:val="single" w:sz="4" w:space="0" w:color="auto"/>
            </w:tcBorders>
            <w:hideMark/>
          </w:tcPr>
          <w:p w14:paraId="33D4C74C"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Reels for cables, piping and the like, of iron or steel</w:t>
            </w:r>
          </w:p>
        </w:tc>
        <w:tc>
          <w:tcPr>
            <w:tcW w:w="1060" w:type="dxa"/>
            <w:tcBorders>
              <w:top w:val="nil"/>
              <w:left w:val="nil"/>
              <w:bottom w:val="single" w:sz="4" w:space="0" w:color="auto"/>
              <w:right w:val="single" w:sz="4" w:space="0" w:color="auto"/>
            </w:tcBorders>
            <w:hideMark/>
          </w:tcPr>
          <w:p w14:paraId="04EE7E43"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0.52</w:t>
            </w:r>
          </w:p>
        </w:tc>
      </w:tr>
      <w:tr w:rsidR="00BB27B6" w:rsidRPr="005C680C" w14:paraId="153B3032"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473F5509"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73269092</w:t>
            </w:r>
          </w:p>
        </w:tc>
        <w:tc>
          <w:tcPr>
            <w:tcW w:w="7983" w:type="dxa"/>
            <w:tcBorders>
              <w:top w:val="nil"/>
              <w:left w:val="nil"/>
              <w:bottom w:val="single" w:sz="4" w:space="0" w:color="auto"/>
              <w:right w:val="single" w:sz="4" w:space="0" w:color="auto"/>
            </w:tcBorders>
            <w:hideMark/>
          </w:tcPr>
          <w:p w14:paraId="63AE2245"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Articles of iron or steel, open-die forged, n.e.s.</w:t>
            </w:r>
          </w:p>
        </w:tc>
        <w:tc>
          <w:tcPr>
            <w:tcW w:w="1060" w:type="dxa"/>
            <w:tcBorders>
              <w:top w:val="nil"/>
              <w:left w:val="nil"/>
              <w:bottom w:val="single" w:sz="4" w:space="0" w:color="auto"/>
              <w:right w:val="single" w:sz="4" w:space="0" w:color="auto"/>
            </w:tcBorders>
            <w:hideMark/>
          </w:tcPr>
          <w:p w14:paraId="2A658F67"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0.53</w:t>
            </w:r>
          </w:p>
        </w:tc>
      </w:tr>
      <w:tr w:rsidR="00743C26" w:rsidRPr="005C680C" w14:paraId="79079C2B"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1AB4B679"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73269094</w:t>
            </w:r>
          </w:p>
        </w:tc>
        <w:tc>
          <w:tcPr>
            <w:tcW w:w="7983" w:type="dxa"/>
            <w:tcBorders>
              <w:top w:val="nil"/>
              <w:left w:val="nil"/>
              <w:bottom w:val="single" w:sz="4" w:space="0" w:color="auto"/>
              <w:right w:val="single" w:sz="4" w:space="0" w:color="auto"/>
            </w:tcBorders>
            <w:hideMark/>
          </w:tcPr>
          <w:p w14:paraId="21C8FE4D"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Articles of iron or steel, closed-die forged, n.e.s.</w:t>
            </w:r>
          </w:p>
        </w:tc>
        <w:tc>
          <w:tcPr>
            <w:tcW w:w="1060" w:type="dxa"/>
            <w:tcBorders>
              <w:top w:val="nil"/>
              <w:left w:val="nil"/>
              <w:bottom w:val="single" w:sz="4" w:space="0" w:color="auto"/>
              <w:right w:val="single" w:sz="4" w:space="0" w:color="auto"/>
            </w:tcBorders>
            <w:hideMark/>
          </w:tcPr>
          <w:p w14:paraId="36D0883F"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0.38</w:t>
            </w:r>
          </w:p>
        </w:tc>
      </w:tr>
      <w:tr w:rsidR="00743C26" w:rsidRPr="005C680C" w14:paraId="4FEF3E5F" w14:textId="77777777" w:rsidTr="00A46DBB">
        <w:trPr>
          <w:trHeight w:val="300"/>
        </w:trPr>
        <w:tc>
          <w:tcPr>
            <w:tcW w:w="1057" w:type="dxa"/>
            <w:tcBorders>
              <w:top w:val="nil"/>
              <w:left w:val="single" w:sz="4" w:space="0" w:color="auto"/>
              <w:bottom w:val="single" w:sz="4" w:space="0" w:color="auto"/>
              <w:right w:val="single" w:sz="4" w:space="0" w:color="auto"/>
            </w:tcBorders>
            <w:vAlign w:val="center"/>
            <w:hideMark/>
          </w:tcPr>
          <w:p w14:paraId="33FF222C"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73269096</w:t>
            </w:r>
          </w:p>
        </w:tc>
        <w:tc>
          <w:tcPr>
            <w:tcW w:w="7983" w:type="dxa"/>
            <w:tcBorders>
              <w:top w:val="nil"/>
              <w:left w:val="nil"/>
              <w:bottom w:val="single" w:sz="4" w:space="0" w:color="auto"/>
              <w:right w:val="single" w:sz="4" w:space="0" w:color="auto"/>
            </w:tcBorders>
            <w:hideMark/>
          </w:tcPr>
          <w:p w14:paraId="5DCEB1E6" w14:textId="77777777" w:rsidR="005C680C" w:rsidRPr="005C680C" w:rsidRDefault="005C680C" w:rsidP="005C680C">
            <w:pPr>
              <w:spacing w:after="0" w:line="240" w:lineRule="auto"/>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Sintered articles of iron or steel, n.e.s.</w:t>
            </w:r>
          </w:p>
        </w:tc>
        <w:tc>
          <w:tcPr>
            <w:tcW w:w="1060" w:type="dxa"/>
            <w:tcBorders>
              <w:top w:val="nil"/>
              <w:left w:val="nil"/>
              <w:bottom w:val="single" w:sz="4" w:space="0" w:color="auto"/>
              <w:right w:val="single" w:sz="4" w:space="0" w:color="auto"/>
            </w:tcBorders>
            <w:hideMark/>
          </w:tcPr>
          <w:p w14:paraId="5D8B9C12" w14:textId="77777777" w:rsidR="005C680C" w:rsidRPr="005C680C" w:rsidRDefault="005C680C" w:rsidP="005C680C">
            <w:pPr>
              <w:spacing w:after="0" w:line="240" w:lineRule="auto"/>
              <w:jc w:val="center"/>
              <w:rPr>
                <w:rFonts w:ascii="Times New Roman" w:eastAsia="Times New Roman" w:hAnsi="Times New Roman" w:cs="Times New Roman"/>
                <w:noProof/>
                <w:color w:val="000000"/>
                <w:lang w:val="en-IE" w:eastAsia="en-IE"/>
              </w:rPr>
            </w:pPr>
            <w:r w:rsidRPr="005C680C">
              <w:rPr>
                <w:rFonts w:ascii="Times New Roman" w:eastAsia="Times New Roman" w:hAnsi="Times New Roman" w:cs="Times New Roman"/>
                <w:noProof/>
                <w:color w:val="000000"/>
                <w:lang w:val="en-IE" w:eastAsia="en-IE"/>
              </w:rPr>
              <w:t>0.41</w:t>
            </w:r>
          </w:p>
        </w:tc>
      </w:tr>
    </w:tbl>
    <w:p w14:paraId="1BF67A2C" w14:textId="77777777" w:rsidR="00E26481" w:rsidRDefault="00E26481">
      <w:pPr>
        <w:spacing w:line="240" w:lineRule="auto"/>
        <w:jc w:val="both"/>
        <w:rPr>
          <w:rFonts w:ascii="Times New Roman" w:eastAsia="Times New Roman" w:hAnsi="Times New Roman" w:cs="Times New Roman"/>
          <w:noProof/>
          <w:sz w:val="24"/>
          <w:szCs w:val="24"/>
        </w:rPr>
      </w:pPr>
    </w:p>
    <w:sectPr w:rsidR="00E26481">
      <w:headerReference w:type="even" r:id="rId23"/>
      <w:headerReference w:type="default" r:id="rId24"/>
      <w:footerReference w:type="even" r:id="rId25"/>
      <w:footerReference w:type="default" r:id="rId26"/>
      <w:headerReference w:type="first" r:id="rId27"/>
      <w:footerReference w:type="first" r:id="rId28"/>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AAA45" w14:textId="77777777" w:rsidR="00F82622" w:rsidRDefault="00F82622">
      <w:pPr>
        <w:spacing w:after="0" w:line="240" w:lineRule="auto"/>
      </w:pPr>
      <w:r>
        <w:separator/>
      </w:r>
    </w:p>
  </w:endnote>
  <w:endnote w:type="continuationSeparator" w:id="0">
    <w:p w14:paraId="6BF29DF4" w14:textId="77777777" w:rsidR="00F82622" w:rsidRDefault="00F82622">
      <w:pPr>
        <w:spacing w:after="0" w:line="240" w:lineRule="auto"/>
      </w:pPr>
      <w:r>
        <w:continuationSeparator/>
      </w:r>
    </w:p>
  </w:endnote>
  <w:endnote w:type="continuationNotice" w:id="1">
    <w:p w14:paraId="59708B2A" w14:textId="77777777" w:rsidR="00F82622" w:rsidRDefault="00F826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AEAF4" w14:textId="1717CD64" w:rsidR="00C83C7E" w:rsidRPr="00C83C7E" w:rsidRDefault="00C83C7E" w:rsidP="00C83C7E">
    <w:pPr>
      <w:pStyle w:val="FooterCoverPage"/>
      <w:rPr>
        <w:rFonts w:ascii="Arial" w:hAnsi="Arial" w:cs="Arial"/>
        <w:b/>
        <w:sz w:val="48"/>
      </w:rPr>
    </w:pPr>
    <w:r w:rsidRPr="00C83C7E">
      <w:rPr>
        <w:rFonts w:ascii="Arial" w:hAnsi="Arial" w:cs="Arial"/>
        <w:b/>
        <w:sz w:val="48"/>
      </w:rPr>
      <w:t>EN</w:t>
    </w:r>
    <w:r w:rsidRPr="00C83C7E">
      <w:rPr>
        <w:rFonts w:ascii="Arial" w:hAnsi="Arial" w:cs="Arial"/>
        <w:b/>
        <w:sz w:val="48"/>
      </w:rPr>
      <w:tab/>
    </w:r>
    <w:r w:rsidRPr="00C83C7E">
      <w:rPr>
        <w:rFonts w:ascii="Arial" w:hAnsi="Arial" w:cs="Arial"/>
        <w:b/>
        <w:sz w:val="48"/>
      </w:rPr>
      <w:tab/>
    </w:r>
    <w:r w:rsidRPr="00C83C7E">
      <w:tab/>
    </w:r>
    <w:proofErr w:type="spellStart"/>
    <w:r w:rsidRPr="00C83C7E">
      <w:rPr>
        <w:rFonts w:ascii="Arial" w:hAnsi="Arial" w:cs="Arial"/>
        <w:b/>
        <w:sz w:val="48"/>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D8E1D" w14:textId="47594391" w:rsidR="00C83C7E" w:rsidRPr="00C83C7E" w:rsidRDefault="00C83C7E" w:rsidP="00C83C7E">
    <w:pPr>
      <w:pStyle w:val="FooterCoverPage"/>
      <w:rPr>
        <w:rFonts w:ascii="Arial" w:hAnsi="Arial" w:cs="Arial"/>
        <w:b/>
        <w:sz w:val="48"/>
      </w:rPr>
    </w:pPr>
    <w:r w:rsidRPr="00C83C7E">
      <w:rPr>
        <w:rFonts w:ascii="Arial" w:hAnsi="Arial" w:cs="Arial"/>
        <w:b/>
        <w:sz w:val="48"/>
      </w:rPr>
      <w:t>EN</w:t>
    </w:r>
    <w:r w:rsidRPr="00C83C7E">
      <w:rPr>
        <w:rFonts w:ascii="Arial" w:hAnsi="Arial" w:cs="Arial"/>
        <w:b/>
        <w:sz w:val="48"/>
      </w:rPr>
      <w:tab/>
    </w:r>
    <w:r w:rsidRPr="00C83C7E">
      <w:rPr>
        <w:rFonts w:ascii="Arial" w:hAnsi="Arial" w:cs="Arial"/>
        <w:b/>
        <w:sz w:val="48"/>
      </w:rPr>
      <w:tab/>
    </w:r>
    <w:r w:rsidRPr="00C83C7E">
      <w:tab/>
    </w:r>
    <w:proofErr w:type="spellStart"/>
    <w:r w:rsidRPr="00C83C7E">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12579" w14:textId="77777777" w:rsidR="00C83C7E" w:rsidRPr="00C83C7E" w:rsidRDefault="00C83C7E" w:rsidP="00C83C7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D89F8" w14:textId="77777777" w:rsidR="00782CEA" w:rsidRDefault="00782CE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9379691"/>
      <w:docPartObj>
        <w:docPartGallery w:val="Page Numbers (Bottom of Page)"/>
        <w:docPartUnique/>
      </w:docPartObj>
    </w:sdtPr>
    <w:sdtEndPr>
      <w:rPr>
        <w:noProof/>
      </w:rPr>
    </w:sdtEndPr>
    <w:sdtContent>
      <w:p w14:paraId="64057C53" w14:textId="5A752355" w:rsidR="00782CEA" w:rsidRDefault="006618FB">
        <w:pPr>
          <w:pStyle w:val="Footer"/>
          <w:jc w:val="center"/>
        </w:pPr>
        <w:r>
          <w:fldChar w:fldCharType="begin"/>
        </w:r>
        <w:r>
          <w:instrText xml:space="preserve"> PAGE   \* MERGEFORMAT </w:instrText>
        </w:r>
        <w:r>
          <w:fldChar w:fldCharType="separate"/>
        </w:r>
        <w:r w:rsidR="00F818FC">
          <w:rPr>
            <w:noProof/>
          </w:rPr>
          <w:t>1</w:t>
        </w:r>
        <w:r>
          <w:rPr>
            <w:noProof/>
          </w:rPr>
          <w:fldChar w:fldCharType="end"/>
        </w:r>
      </w:p>
    </w:sdtContent>
  </w:sdt>
  <w:p w14:paraId="417F6E7E" w14:textId="77777777" w:rsidR="00782CEA" w:rsidRDefault="00782CE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5CEBA" w14:textId="77777777" w:rsidR="00782CEA" w:rsidRDefault="00782C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23CCC" w14:textId="77777777" w:rsidR="00F82622" w:rsidRDefault="00F82622">
      <w:pPr>
        <w:spacing w:after="0" w:line="240" w:lineRule="auto"/>
      </w:pPr>
      <w:r>
        <w:separator/>
      </w:r>
    </w:p>
  </w:footnote>
  <w:footnote w:type="continuationSeparator" w:id="0">
    <w:p w14:paraId="35392D87" w14:textId="77777777" w:rsidR="00F82622" w:rsidRDefault="00F82622">
      <w:pPr>
        <w:spacing w:after="0" w:line="240" w:lineRule="auto"/>
      </w:pPr>
      <w:r>
        <w:continuationSeparator/>
      </w:r>
    </w:p>
  </w:footnote>
  <w:footnote w:type="continuationNotice" w:id="1">
    <w:p w14:paraId="6E5FF5C7" w14:textId="77777777" w:rsidR="00F82622" w:rsidRDefault="00F82622">
      <w:pPr>
        <w:spacing w:after="0" w:line="240" w:lineRule="auto"/>
      </w:pPr>
    </w:p>
  </w:footnote>
  <w:footnote w:id="2">
    <w:p w14:paraId="4670F23C" w14:textId="1F7105E2" w:rsidR="00CB4F82" w:rsidRPr="00866239" w:rsidRDefault="00CB4F82" w:rsidP="007D7365">
      <w:pPr>
        <w:pStyle w:val="FootnoteText"/>
        <w:jc w:val="both"/>
        <w:rPr>
          <w:lang w:val="pt-BR"/>
        </w:rPr>
      </w:pPr>
      <w:r>
        <w:rPr>
          <w:rStyle w:val="FootnoteReference"/>
        </w:rPr>
        <w:footnoteRef/>
      </w:r>
      <w:r w:rsidRPr="00866239">
        <w:rPr>
          <w:lang w:val="pt-BR"/>
        </w:rPr>
        <w:t xml:space="preserve"> </w:t>
      </w:r>
      <w:r w:rsidRPr="00866239">
        <w:rPr>
          <w:rFonts w:ascii="Times New Roman" w:hAnsi="Times New Roman" w:cs="Times New Roman"/>
          <w:lang w:val="pt-BR"/>
        </w:rPr>
        <w:t>Regulation (EU) 2021/1119</w:t>
      </w:r>
      <w:r>
        <w:rPr>
          <w:rFonts w:ascii="Times New Roman" w:hAnsi="Times New Roman" w:cs="Times New Roman"/>
          <w:lang w:val="pt-BR"/>
        </w:rPr>
        <w:t>.</w:t>
      </w:r>
    </w:p>
  </w:footnote>
  <w:footnote w:id="3">
    <w:p w14:paraId="718D7615" w14:textId="4A59DC22" w:rsidR="00673617" w:rsidRPr="00866239" w:rsidRDefault="00673617" w:rsidP="007D7365">
      <w:pPr>
        <w:pStyle w:val="FootnoteText"/>
        <w:jc w:val="both"/>
        <w:rPr>
          <w:lang w:val="pt-BR"/>
        </w:rPr>
      </w:pPr>
      <w:r>
        <w:rPr>
          <w:rStyle w:val="FootnoteReference"/>
        </w:rPr>
        <w:footnoteRef/>
      </w:r>
      <w:r w:rsidRPr="00866239">
        <w:rPr>
          <w:lang w:val="pt-BR"/>
        </w:rPr>
        <w:t xml:space="preserve"> </w:t>
      </w:r>
      <w:r w:rsidRPr="00866239">
        <w:rPr>
          <w:rFonts w:ascii="Times New Roman" w:hAnsi="Times New Roman" w:cs="Times New Roman"/>
          <w:lang w:val="pt-BR"/>
        </w:rPr>
        <w:t>COM (2025)524</w:t>
      </w:r>
      <w:r>
        <w:rPr>
          <w:rFonts w:ascii="Times New Roman" w:hAnsi="Times New Roman" w:cs="Times New Roman"/>
          <w:lang w:val="pt-BR"/>
        </w:rPr>
        <w:t>.</w:t>
      </w:r>
    </w:p>
  </w:footnote>
  <w:footnote w:id="4">
    <w:p w14:paraId="78FDC75A" w14:textId="6E9A8BE6" w:rsidR="00C125CB" w:rsidRPr="00866239" w:rsidRDefault="00C125CB" w:rsidP="007D7365">
      <w:pPr>
        <w:pStyle w:val="FootnoteText"/>
        <w:jc w:val="both"/>
        <w:rPr>
          <w:lang w:val="pt-BR"/>
        </w:rPr>
      </w:pPr>
      <w:r>
        <w:rPr>
          <w:rStyle w:val="FootnoteReference"/>
        </w:rPr>
        <w:footnoteRef/>
      </w:r>
      <w:r w:rsidRPr="00866239">
        <w:rPr>
          <w:lang w:val="pt-BR"/>
        </w:rPr>
        <w:t xml:space="preserve"> </w:t>
      </w:r>
      <w:r w:rsidRPr="00866239">
        <w:rPr>
          <w:rFonts w:ascii="Times New Roman" w:hAnsi="Times New Roman" w:cs="Times New Roman"/>
          <w:lang w:val="pt-BR"/>
        </w:rPr>
        <w:t>COM/2025/79 final</w:t>
      </w:r>
      <w:r>
        <w:rPr>
          <w:rFonts w:ascii="Times New Roman" w:hAnsi="Times New Roman" w:cs="Times New Roman"/>
          <w:lang w:val="pt-BR"/>
        </w:rPr>
        <w:t>.</w:t>
      </w:r>
    </w:p>
  </w:footnote>
  <w:footnote w:id="5">
    <w:p w14:paraId="57DEB690" w14:textId="2CF14F61" w:rsidR="00CD4F2A" w:rsidRPr="00A71D32" w:rsidRDefault="00CD4F2A">
      <w:pPr>
        <w:pStyle w:val="FootnoteText"/>
        <w:rPr>
          <w:lang w:val="en-IE"/>
        </w:rPr>
      </w:pPr>
      <w:r>
        <w:rPr>
          <w:rStyle w:val="FootnoteReference"/>
        </w:rPr>
        <w:footnoteRef/>
      </w:r>
      <w:r w:rsidRPr="00866239">
        <w:rPr>
          <w:lang w:val="pt-BR"/>
        </w:rPr>
        <w:t xml:space="preserve"> </w:t>
      </w:r>
      <w:r w:rsidRPr="00866239">
        <w:rPr>
          <w:rFonts w:ascii="Times New Roman" w:hAnsi="Times New Roman" w:cs="Times New Roman"/>
          <w:lang w:val="pt-BR"/>
        </w:rPr>
        <w:t>COM/2025/85</w:t>
      </w:r>
      <w:r>
        <w:rPr>
          <w:rFonts w:ascii="Times New Roman" w:hAnsi="Times New Roman" w:cs="Times New Roman"/>
          <w:lang w:val="pt-BR"/>
        </w:rPr>
        <w:t>.</w:t>
      </w:r>
    </w:p>
  </w:footnote>
  <w:footnote w:id="6">
    <w:p w14:paraId="6E4EEE9A" w14:textId="7F13A10A" w:rsidR="00175E78" w:rsidRPr="00A71D32" w:rsidRDefault="00175E78" w:rsidP="00175E78">
      <w:pPr>
        <w:pStyle w:val="FootnoteText"/>
        <w:jc w:val="both"/>
        <w:rPr>
          <w:lang w:val="en-IE"/>
        </w:rPr>
      </w:pPr>
      <w:r>
        <w:rPr>
          <w:rStyle w:val="FootnoteReference"/>
        </w:rPr>
        <w:footnoteRef/>
      </w:r>
      <w:r>
        <w:t xml:space="preserve"> </w:t>
      </w:r>
      <w:r w:rsidRPr="00175E78">
        <w:rPr>
          <w:rFonts w:ascii="Times New Roman" w:hAnsi="Times New Roman" w:cs="Times New Roman"/>
        </w:rPr>
        <w:t xml:space="preserve">Auctioning is the default method for distributing emission allowances to installations and operators under the EU ETS. However, in certain sectors, the transition to full auctioning is taking place gradually. </w:t>
      </w:r>
      <w:r w:rsidRPr="00175E78">
        <w:rPr>
          <w:rFonts w:ascii="Times New Roman" w:hAnsi="Times New Roman" w:cs="Times New Roman"/>
        </w:rPr>
        <w:t>As the EU continues to pursue ambitious emission reductions targets, these sectors receive some allowances for free to address the risk of carbon leakage. Free allocation under the EU ETS follows specific, harmonised rules.</w:t>
      </w:r>
    </w:p>
  </w:footnote>
  <w:footnote w:id="7">
    <w:p w14:paraId="276A5E8E" w14:textId="0363E7A7" w:rsidR="00CE15A4" w:rsidRPr="00CE15A4" w:rsidRDefault="00CE15A4" w:rsidP="007D7365">
      <w:pPr>
        <w:pStyle w:val="FootnoteText"/>
        <w:jc w:val="both"/>
      </w:pPr>
      <w:r>
        <w:rPr>
          <w:rStyle w:val="FootnoteReference"/>
        </w:rPr>
        <w:footnoteRef/>
      </w:r>
      <w:r>
        <w:t xml:space="preserve"> </w:t>
      </w:r>
      <w:r w:rsidRPr="0087568B">
        <w:rPr>
          <w:rFonts w:ascii="Times New Roman" w:hAnsi="Times New Roman" w:cs="Times New Roman"/>
        </w:rPr>
        <w:t>As the CBAM is progressively phased in from 2026 onwards for goods listed in Annex I of the CBAM Regulation (Regulation (EU) 2023/956), the ETS Directive  provides that in parallel, free allocation for the production of these goods by EU operators is reduced by the application of the CBAM factor. The CBAM factor is set</w:t>
      </w:r>
      <w:r w:rsidR="00A94DA4">
        <w:rPr>
          <w:rFonts w:ascii="Times New Roman" w:hAnsi="Times New Roman" w:cs="Times New Roman"/>
        </w:rPr>
        <w:t xml:space="preserve"> at</w:t>
      </w:r>
      <w:r w:rsidRPr="0087568B">
        <w:rPr>
          <w:rFonts w:ascii="Times New Roman" w:hAnsi="Times New Roman" w:cs="Times New Roman"/>
        </w:rPr>
        <w:t xml:space="preserve"> 97.5% in 2026, </w:t>
      </w:r>
      <w:r w:rsidR="2A4DC8C2" w:rsidRPr="2A4DC8C2">
        <w:rPr>
          <w:rFonts w:ascii="Times New Roman" w:hAnsi="Times New Roman" w:cs="Times New Roman"/>
        </w:rPr>
        <w:t xml:space="preserve">and </w:t>
      </w:r>
      <w:r w:rsidRPr="0087568B">
        <w:rPr>
          <w:rFonts w:ascii="Times New Roman" w:hAnsi="Times New Roman" w:cs="Times New Roman"/>
        </w:rPr>
        <w:t>95% in 2027. It further declines over subsequent years, until in 2034 no CBAM factor applies, meaning that free allocation for the production of CBAM goods is set at zero.</w:t>
      </w:r>
    </w:p>
  </w:footnote>
  <w:footnote w:id="8">
    <w:p w14:paraId="538DE0DC" w14:textId="77777777" w:rsidR="0796BD6F" w:rsidRDefault="0796BD6F" w:rsidP="0796BD6F">
      <w:pPr>
        <w:pStyle w:val="FootnoteText"/>
        <w:rPr>
          <w:lang w:val="en-IE"/>
        </w:rPr>
      </w:pPr>
      <w:r>
        <w:rPr>
          <w:rStyle w:val="FootnoteReference"/>
        </w:rPr>
        <w:footnoteRef/>
      </w:r>
      <w:r>
        <w:t xml:space="preserve"> </w:t>
      </w:r>
      <w:r>
        <w:rPr>
          <w:rFonts w:ascii="Times New Roman" w:hAnsi="Times New Roman" w:cs="Times New Roman"/>
        </w:rPr>
        <w:t>Note that these figures are only indicative and likely to be underestimations. More precise estimations cannot be provided at this point, due to shortcomings in currently available ETS data.</w:t>
      </w:r>
    </w:p>
  </w:footnote>
  <w:footnote w:id="9">
    <w:p w14:paraId="09C9E74D" w14:textId="124D7871" w:rsidR="00EE72E6" w:rsidRPr="001B4E8D" w:rsidRDefault="00EE72E6">
      <w:pPr>
        <w:pStyle w:val="FootnoteText"/>
        <w:rPr>
          <w:lang w:val="en-IE"/>
        </w:rPr>
      </w:pPr>
      <w:r>
        <w:rPr>
          <w:rStyle w:val="FootnoteReference"/>
        </w:rPr>
        <w:footnoteRef/>
      </w:r>
      <w:r>
        <w:t xml:space="preserve"> </w:t>
      </w:r>
      <w:r w:rsidRPr="00471EDF">
        <w:rPr>
          <w:rFonts w:ascii="Times New Roman" w:hAnsi="Times New Roman" w:cs="Times New Roman"/>
          <w:lang w:val="en-IE"/>
        </w:rPr>
        <w:t>Regulation (EU) 2023/956</w:t>
      </w:r>
      <w:r>
        <w:rPr>
          <w:rFonts w:ascii="Times New Roman" w:hAnsi="Times New Roman" w:cs="Times New Roman"/>
          <w:lang w:val="en-IE"/>
        </w:rPr>
        <w:t>.</w:t>
      </w:r>
    </w:p>
  </w:footnote>
  <w:footnote w:id="10">
    <w:p w14:paraId="159EBC02" w14:textId="355B6DC3" w:rsidR="001838C4" w:rsidRPr="007D59B4" w:rsidRDefault="001838C4" w:rsidP="001838C4">
      <w:pPr>
        <w:pStyle w:val="FootnoteText"/>
      </w:pPr>
      <w:r>
        <w:rPr>
          <w:rStyle w:val="FootnoteReference"/>
        </w:rPr>
        <w:footnoteRef/>
      </w:r>
      <w:r w:rsidRPr="007D59B4">
        <w:t xml:space="preserve"> </w:t>
      </w:r>
      <w:r w:rsidRPr="001F77B6">
        <w:rPr>
          <w:rFonts w:ascii="Times New Roman" w:hAnsi="Times New Roman" w:cs="Times New Roman"/>
        </w:rPr>
        <w:t xml:space="preserve">The measure will be financed </w:t>
      </w:r>
      <w:r w:rsidR="00DF0C47">
        <w:rPr>
          <w:rFonts w:ascii="Times New Roman" w:hAnsi="Times New Roman" w:cs="Times New Roman"/>
        </w:rPr>
        <w:t>by Member States with an amount corresponding to</w:t>
      </w:r>
      <w:r w:rsidRPr="001F77B6">
        <w:rPr>
          <w:rFonts w:ascii="Times New Roman" w:hAnsi="Times New Roman" w:cs="Times New Roman"/>
        </w:rPr>
        <w:t xml:space="preserve"> up to 25% of the revenues generated by CBAM.</w:t>
      </w:r>
    </w:p>
  </w:footnote>
  <w:footnote w:id="11">
    <w:p w14:paraId="068D76AE" w14:textId="78AE6ACC" w:rsidR="001B4884" w:rsidRPr="007B2E2A" w:rsidRDefault="001B4884">
      <w:pPr>
        <w:pStyle w:val="FootnoteText"/>
        <w:rPr>
          <w:lang w:val="en-IE"/>
        </w:rPr>
      </w:pPr>
      <w:r>
        <w:rPr>
          <w:rStyle w:val="FootnoteReference"/>
        </w:rPr>
        <w:footnoteRef/>
      </w:r>
      <w:r w:rsidRPr="007B2E2A">
        <w:rPr>
          <w:lang w:val="en-IE"/>
        </w:rPr>
        <w:t xml:space="preserve"> </w:t>
      </w:r>
      <w:r w:rsidRPr="007B2E2A">
        <w:rPr>
          <w:rFonts w:ascii="Times New Roman" w:hAnsi="Times New Roman" w:cs="Times New Roman"/>
          <w:lang w:val="en-IE"/>
        </w:rPr>
        <w:t>Directive 2003/87/EC</w:t>
      </w:r>
      <w:r>
        <w:rPr>
          <w:rFonts w:ascii="Times New Roman" w:hAnsi="Times New Roman" w:cs="Times New Roman"/>
          <w:lang w:val="en-IE"/>
        </w:rPr>
        <w:t>.</w:t>
      </w:r>
    </w:p>
  </w:footnote>
  <w:footnote w:id="12">
    <w:p w14:paraId="6D83A4BC" w14:textId="4BFA0AE8" w:rsidR="00837D08" w:rsidRPr="00837D08" w:rsidRDefault="00837D08">
      <w:pPr>
        <w:pStyle w:val="FootnoteText"/>
      </w:pPr>
      <w:r>
        <w:rPr>
          <w:rStyle w:val="FootnoteReference"/>
        </w:rPr>
        <w:footnoteRef/>
      </w:r>
      <w:r w:rsidRPr="00837D08">
        <w:t xml:space="preserve"> </w:t>
      </w:r>
      <w:r w:rsidRPr="00B93E61">
        <w:rPr>
          <w:rFonts w:ascii="Times New Roman" w:hAnsi="Times New Roman" w:cs="Times New Roman"/>
        </w:rPr>
        <w:t>Source: Commission estimations of CBAM revenues</w:t>
      </w:r>
      <w:r>
        <w:rPr>
          <w:rFonts w:ascii="Times New Roman" w:hAnsi="Times New Roman" w:cs="Times New Roman"/>
        </w:rPr>
        <w:t>.</w:t>
      </w:r>
    </w:p>
  </w:footnote>
  <w:footnote w:id="13">
    <w:p w14:paraId="73D776E2" w14:textId="7B380D82" w:rsidR="00176B3F" w:rsidRPr="00CF5E6B" w:rsidRDefault="00176B3F">
      <w:pPr>
        <w:pStyle w:val="FootnoteText"/>
        <w:rPr>
          <w:rFonts w:ascii="Times New Roman" w:hAnsi="Times New Roman" w:cs="Times New Roman"/>
          <w:lang w:val="en-IE"/>
        </w:rPr>
      </w:pPr>
      <w:r w:rsidRPr="00CF5E6B">
        <w:rPr>
          <w:rStyle w:val="FootnoteReference"/>
          <w:rFonts w:ascii="Times New Roman" w:hAnsi="Times New Roman" w:cs="Times New Roman"/>
        </w:rPr>
        <w:footnoteRef/>
      </w:r>
      <w:r w:rsidRPr="00CF5E6B">
        <w:rPr>
          <w:rFonts w:ascii="Times New Roman" w:hAnsi="Times New Roman" w:cs="Times New Roman"/>
        </w:rPr>
        <w:t xml:space="preserve"> </w:t>
      </w:r>
      <w:r w:rsidRPr="00CF5E6B">
        <w:rPr>
          <w:rFonts w:ascii="Times New Roman" w:hAnsi="Times New Roman" w:cs="Times New Roman"/>
          <w:lang w:val="en-IE"/>
        </w:rPr>
        <w:t xml:space="preserve">See e.g. the ETS State aid Guidelines post-2021, the </w:t>
      </w:r>
      <w:r w:rsidR="008C3765" w:rsidRPr="00CF5E6B">
        <w:rPr>
          <w:rFonts w:ascii="Times New Roman" w:hAnsi="Times New Roman" w:cs="Times New Roman"/>
          <w:lang w:val="en-IE"/>
        </w:rPr>
        <w:t>Guidelines on State aid for Climate, Environmental protection and Energy (</w:t>
      </w:r>
      <w:r w:rsidRPr="00CF5E6B">
        <w:rPr>
          <w:rFonts w:ascii="Times New Roman" w:hAnsi="Times New Roman" w:cs="Times New Roman"/>
          <w:lang w:val="en-IE"/>
        </w:rPr>
        <w:t>CEEAG</w:t>
      </w:r>
      <w:r w:rsidR="008C3765" w:rsidRPr="00CF5E6B">
        <w:rPr>
          <w:rFonts w:ascii="Times New Roman" w:hAnsi="Times New Roman" w:cs="Times New Roman"/>
          <w:lang w:val="en-IE"/>
        </w:rPr>
        <w:t>)</w:t>
      </w:r>
      <w:r w:rsidRPr="00CF5E6B">
        <w:rPr>
          <w:rFonts w:ascii="Times New Roman" w:hAnsi="Times New Roman" w:cs="Times New Roman"/>
          <w:lang w:val="en-IE"/>
        </w:rPr>
        <w:t xml:space="preserve"> and the </w:t>
      </w:r>
      <w:r w:rsidR="000C4B74" w:rsidRPr="00CF5E6B">
        <w:rPr>
          <w:rFonts w:ascii="Times New Roman" w:hAnsi="Times New Roman" w:cs="Times New Roman"/>
          <w:lang w:val="en-IE"/>
        </w:rPr>
        <w:t>Clean Industrial Deal State Aid Framework (CISAF</w:t>
      </w:r>
      <w:r>
        <w:rPr>
          <w:rFonts w:ascii="Times New Roman" w:hAnsi="Times New Roman" w:cs="Times New Roman"/>
          <w:lang w:val="en-IE"/>
        </w:rPr>
        <w:t>).</w:t>
      </w:r>
    </w:p>
  </w:footnote>
  <w:footnote w:id="14">
    <w:p w14:paraId="05FA8911" w14:textId="0A4459DC" w:rsidR="006F62A7" w:rsidRPr="00EF1665" w:rsidRDefault="006F62A7" w:rsidP="006F62A7">
      <w:pPr>
        <w:pStyle w:val="FootnoteText"/>
        <w:rPr>
          <w:rFonts w:ascii="Times New Roman" w:hAnsi="Times New Roman" w:cs="Times New Roman"/>
          <w:lang w:val="en-IE"/>
        </w:rPr>
      </w:pPr>
      <w:r w:rsidRPr="00CF5E6B">
        <w:rPr>
          <w:rStyle w:val="FootnoteReference"/>
          <w:rFonts w:ascii="Times New Roman" w:hAnsi="Times New Roman" w:cs="Times New Roman"/>
        </w:rPr>
        <w:footnoteRef/>
      </w:r>
      <w:r w:rsidRPr="00EF1665">
        <w:rPr>
          <w:rFonts w:ascii="Times New Roman" w:hAnsi="Times New Roman" w:cs="Times New Roman"/>
          <w:lang w:val="en-IE"/>
        </w:rPr>
        <w:t xml:space="preserve"> </w:t>
      </w:r>
      <w:r>
        <w:rPr>
          <w:rFonts w:ascii="Times New Roman" w:hAnsi="Times New Roman" w:cs="Times New Roman"/>
          <w:lang w:val="en-IE"/>
        </w:rPr>
        <w:t>Cf.</w:t>
      </w:r>
      <w:r w:rsidR="752D00B0" w:rsidRPr="00EF1665">
        <w:rPr>
          <w:rFonts w:ascii="Times New Roman" w:hAnsi="Times New Roman" w:cs="Times New Roman"/>
          <w:lang w:val="en-IE"/>
        </w:rPr>
        <w:t>Directive 2012/27/EU</w:t>
      </w:r>
      <w:r w:rsidR="0045033F" w:rsidRPr="00EF1665">
        <w:rPr>
          <w:rFonts w:ascii="Times New Roman" w:hAnsi="Times New Roman" w:cs="Times New Roman"/>
          <w:lang w:val="en-IE"/>
        </w:rPr>
        <w:t xml:space="preserve"> </w:t>
      </w:r>
      <w:r>
        <w:rPr>
          <w:rFonts w:ascii="Times New Roman" w:hAnsi="Times New Roman" w:cs="Times New Roman"/>
          <w:lang w:val="en-IE"/>
        </w:rPr>
        <w:t xml:space="preserve">and </w:t>
      </w:r>
      <w:r w:rsidR="2D7A29FD" w:rsidRPr="00EF1665">
        <w:rPr>
          <w:rFonts w:ascii="Times New Roman" w:hAnsi="Times New Roman" w:cs="Times New Roman"/>
          <w:lang w:val="en-IE"/>
        </w:rPr>
        <w:t>Directive 2023/1791/EC.</w:t>
      </w:r>
    </w:p>
  </w:footnote>
  <w:footnote w:id="15">
    <w:p w14:paraId="049E8A91" w14:textId="6B662585" w:rsidR="66F8AF40" w:rsidRPr="00EF1665" w:rsidRDefault="66F8AF40" w:rsidP="00BA5942">
      <w:pPr>
        <w:spacing w:after="0"/>
        <w:rPr>
          <w:rFonts w:ascii="Times New Roman" w:eastAsia="Calibri" w:hAnsi="Times New Roman" w:cs="Times New Roman"/>
          <w:sz w:val="20"/>
          <w:szCs w:val="20"/>
          <w:lang w:val="en-IE"/>
        </w:rPr>
      </w:pPr>
      <w:r w:rsidRPr="00906062">
        <w:rPr>
          <w:rFonts w:ascii="Times New Roman" w:hAnsi="Times New Roman" w:cs="Times New Roman"/>
          <w:sz w:val="20"/>
          <w:szCs w:val="20"/>
          <w:vertAlign w:val="superscript"/>
        </w:rPr>
        <w:footnoteRef/>
      </w:r>
      <w:r w:rsidRPr="00EF1665">
        <w:rPr>
          <w:rFonts w:ascii="Times New Roman" w:hAnsi="Times New Roman" w:cs="Times New Roman"/>
          <w:sz w:val="20"/>
          <w:szCs w:val="20"/>
          <w:lang w:val="en-IE"/>
        </w:rPr>
        <w:t xml:space="preserve"> Cembureau, Eurofer, CAEF, European Aluminium, Fertilisers Europe, Hydrogen Europe, Renewable Hydrogen Alliance, </w:t>
      </w:r>
      <w:r w:rsidRPr="00EF1665">
        <w:rPr>
          <w:rFonts w:ascii="Times New Roman" w:eastAsia="Aptos" w:hAnsi="Times New Roman" w:cs="Times New Roman"/>
          <w:sz w:val="20"/>
          <w:szCs w:val="20"/>
          <w:lang w:val="en-IE"/>
        </w:rPr>
        <w:t>European Industrial Gases Association</w:t>
      </w:r>
      <w:r>
        <w:rPr>
          <w:rFonts w:ascii="Times New Roman" w:eastAsia="Aptos" w:hAnsi="Times New Roman" w:cs="Times New Roman"/>
          <w:sz w:val="20"/>
          <w:szCs w:val="20"/>
          <w:lang w:val="en-IE"/>
        </w:rPr>
        <w:t>.</w:t>
      </w:r>
    </w:p>
  </w:footnote>
  <w:footnote w:id="16">
    <w:p w14:paraId="1E55594C" w14:textId="2BAFF114" w:rsidR="00295533" w:rsidRPr="00EF1665" w:rsidRDefault="00295533">
      <w:pPr>
        <w:pStyle w:val="FootnoteText"/>
        <w:rPr>
          <w:rFonts w:ascii="Times New Roman" w:hAnsi="Times New Roman" w:cs="Times New Roman"/>
          <w:lang w:val="en-IE"/>
        </w:rPr>
      </w:pPr>
      <w:r w:rsidRPr="001469AD">
        <w:rPr>
          <w:rStyle w:val="FootnoteReference"/>
          <w:rFonts w:ascii="Times New Roman" w:hAnsi="Times New Roman" w:cs="Times New Roman"/>
        </w:rPr>
        <w:footnoteRef/>
      </w:r>
      <w:r w:rsidRPr="00EF1665">
        <w:rPr>
          <w:rFonts w:ascii="Times New Roman" w:hAnsi="Times New Roman" w:cs="Times New Roman"/>
          <w:lang w:val="en-IE"/>
        </w:rPr>
        <w:t xml:space="preserve"> Cembureau, Cefic, Euroalliages, European Aluminium, Eurofer, Eurometaux, Fertilizers Europe, Hydrogen Europe, European Steel Processors Association</w:t>
      </w:r>
      <w:r>
        <w:rPr>
          <w:rFonts w:ascii="Times New Roman" w:hAnsi="Times New Roman" w:cs="Times New Roman"/>
          <w:lang w:val="en-IE"/>
        </w:rPr>
        <w:t>.</w:t>
      </w:r>
    </w:p>
  </w:footnote>
  <w:footnote w:id="17">
    <w:p w14:paraId="5944DC2D" w14:textId="4255D5B3" w:rsidR="0000496A" w:rsidRPr="00EF1665" w:rsidRDefault="0000496A" w:rsidP="00021D95">
      <w:pPr>
        <w:pStyle w:val="FootnoteText"/>
        <w:jc w:val="both"/>
        <w:rPr>
          <w:rFonts w:ascii="Times New Roman" w:hAnsi="Times New Roman" w:cs="Times New Roman"/>
          <w:lang w:val="en-IE"/>
        </w:rPr>
      </w:pPr>
      <w:r w:rsidRPr="001469AD">
        <w:rPr>
          <w:rStyle w:val="FootnoteReference"/>
          <w:rFonts w:ascii="Times New Roman" w:hAnsi="Times New Roman" w:cs="Times New Roman"/>
        </w:rPr>
        <w:footnoteRef/>
      </w:r>
      <w:r w:rsidRPr="00EF1665">
        <w:rPr>
          <w:rFonts w:ascii="Times New Roman" w:hAnsi="Times New Roman" w:cs="Times New Roman"/>
          <w:lang w:val="en-IE"/>
        </w:rPr>
        <w:t xml:space="preserve"> Hydrogen Europe, Cement Europe, Eurofer, Cefic, Renewable Hydrogen Coalition, Fertilizers Europe, Euroalliages, FuelsEurope, BusinessEurope, Eurometaux, Business for CBAM Coalition, Renewable Hydrogen Alliance</w:t>
      </w:r>
      <w:r>
        <w:rPr>
          <w:rFonts w:ascii="Times New Roman" w:hAnsi="Times New Roman" w:cs="Times New Roman"/>
          <w:lang w:val="en-IE"/>
        </w:rPr>
        <w:t>.</w:t>
      </w:r>
    </w:p>
  </w:footnote>
  <w:footnote w:id="18">
    <w:p w14:paraId="1A90A370" w14:textId="3F0E3E07" w:rsidR="0003089C" w:rsidRPr="00EF1665" w:rsidRDefault="0003089C" w:rsidP="0003089C">
      <w:pPr>
        <w:pStyle w:val="FootnoteText"/>
        <w:jc w:val="both"/>
        <w:rPr>
          <w:lang w:val="en-IE"/>
        </w:rPr>
      </w:pPr>
      <w:r w:rsidRPr="001469AD">
        <w:rPr>
          <w:rStyle w:val="FootnoteReference"/>
          <w:rFonts w:ascii="Times New Roman" w:hAnsi="Times New Roman" w:cs="Times New Roman"/>
        </w:rPr>
        <w:footnoteRef/>
      </w:r>
      <w:r w:rsidRPr="00EF1665">
        <w:rPr>
          <w:rFonts w:ascii="Times New Roman" w:hAnsi="Times New Roman" w:cs="Times New Roman"/>
          <w:lang w:val="en-IE"/>
        </w:rPr>
        <w:t xml:space="preserve"> A</w:t>
      </w:r>
      <w:r w:rsidR="00CC1DB4" w:rsidRPr="00EF1665">
        <w:rPr>
          <w:rFonts w:ascii="Times New Roman" w:hAnsi="Times New Roman" w:cs="Times New Roman"/>
          <w:lang w:val="en-IE"/>
        </w:rPr>
        <w:t>cea</w:t>
      </w:r>
      <w:r w:rsidRPr="00EF1665">
        <w:rPr>
          <w:rFonts w:ascii="Times New Roman" w:hAnsi="Times New Roman" w:cs="Times New Roman"/>
          <w:lang w:val="en-IE"/>
        </w:rPr>
        <w:t>, Alro, Applia, ArcelorMittal, Arvedi Group, Bellona, Business Europe, Business for CBAM Coalition, Celsa Group, Cement Europe, EFDA (European Fastener Distributor Association), Energy Traders Europe, Entso-E, Eurelectric, Euroalliages, Eurochambres, Eurofer, Eurometaux, EuropaCable, European Aluminium, European Tool Association, Fertilizers Europe, FIM</w:t>
      </w:r>
      <w:r w:rsidR="00CE1F66" w:rsidRPr="00EF1665">
        <w:rPr>
          <w:rFonts w:ascii="Times New Roman" w:hAnsi="Times New Roman" w:cs="Times New Roman"/>
          <w:lang w:val="en-IE"/>
        </w:rPr>
        <w:t xml:space="preserve"> (Fédération des Industries Mécaniques)</w:t>
      </w:r>
      <w:r w:rsidRPr="00EF1665">
        <w:rPr>
          <w:rFonts w:ascii="Times New Roman" w:hAnsi="Times New Roman" w:cs="Times New Roman"/>
          <w:lang w:val="en-IE"/>
        </w:rPr>
        <w:t>, Groupe SEB, Grupa Azoty, Heidelberg Materials, Holcim, Hüttenwerke Krupp Mannesmann, Marcegaglia, Metal Packaging Europe, NKT, Norsk Hydro, Orgalim, Outokumpu, Riva Group, Stahlwille Holding, Thyssenkrupp, Timet Aluminium SE, Titan Group, UNIFE</w:t>
      </w:r>
      <w:r w:rsidR="00047D66" w:rsidRPr="00EF1665">
        <w:rPr>
          <w:rFonts w:ascii="Times New Roman" w:hAnsi="Times New Roman" w:cs="Times New Roman"/>
          <w:lang w:val="en-IE"/>
        </w:rPr>
        <w:t>,</w:t>
      </w:r>
      <w:r w:rsidRPr="00EF1665">
        <w:rPr>
          <w:rFonts w:ascii="Times New Roman" w:hAnsi="Times New Roman" w:cs="Times New Roman"/>
          <w:lang w:val="en-IE"/>
        </w:rPr>
        <w:t xml:space="preserve"> VDMA , Voestalpine Group, Yara International</w:t>
      </w:r>
      <w:r>
        <w:rPr>
          <w:rFonts w:ascii="Times New Roman" w:hAnsi="Times New Roman" w:cs="Times New Roman"/>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976D5" w14:textId="77777777" w:rsidR="00C83C7E" w:rsidRPr="00C83C7E" w:rsidRDefault="00C83C7E" w:rsidP="00C83C7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6ED88" w14:textId="77777777" w:rsidR="00C83C7E" w:rsidRPr="00C83C7E" w:rsidRDefault="00C83C7E" w:rsidP="00C83C7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0DC8C" w14:textId="77777777" w:rsidR="00C83C7E" w:rsidRPr="00C83C7E" w:rsidRDefault="00C83C7E" w:rsidP="00C83C7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C4717" w14:textId="4C1035BD" w:rsidR="00782CEA" w:rsidRPr="000102FC" w:rsidRDefault="00782CEA" w:rsidP="000102F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CACD1" w14:textId="7C906F71" w:rsidR="00782CEA" w:rsidRPr="000102FC" w:rsidRDefault="00782CEA" w:rsidP="000102F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ED98D" w14:textId="31CF6633" w:rsidR="00782CEA" w:rsidRPr="000102FC" w:rsidRDefault="00782CEA" w:rsidP="000102FC">
    <w:pPr>
      <w:pStyle w:val="Header"/>
    </w:pPr>
  </w:p>
</w:hdr>
</file>

<file path=word/intelligence.xml><?xml version="1.0" encoding="utf-8"?>
<int:Intelligence xmlns:oel="http://schemas.microsoft.com/office/2019/extlst" xmlns:int="http://schemas.microsoft.com/office/intelligence/2019/intelligence">
  <int:IntelligenceSettings>
    <int:extLst>
      <oel:ext uri="74B372B9-2EFF-4315-9A3F-32BA87CA82B1">
        <int:Goals Version="1" Formality="0"/>
      </oel:ext>
    </int:extLst>
  </int:IntelligenceSettings>
  <int:Manifes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923A6"/>
    <w:multiLevelType w:val="hybridMultilevel"/>
    <w:tmpl w:val="FFFFFFFF"/>
    <w:lvl w:ilvl="0" w:tplc="7EE47B34">
      <w:start w:val="1"/>
      <w:numFmt w:val="bullet"/>
      <w:lvlText w:val=""/>
      <w:lvlJc w:val="left"/>
      <w:pPr>
        <w:ind w:left="720" w:hanging="360"/>
      </w:pPr>
      <w:rPr>
        <w:rFonts w:ascii="Symbol" w:hAnsi="Symbol" w:hint="default"/>
      </w:rPr>
    </w:lvl>
    <w:lvl w:ilvl="1" w:tplc="E9445982">
      <w:start w:val="1"/>
      <w:numFmt w:val="bullet"/>
      <w:lvlText w:val="o"/>
      <w:lvlJc w:val="left"/>
      <w:pPr>
        <w:ind w:left="1440" w:hanging="360"/>
      </w:pPr>
      <w:rPr>
        <w:rFonts w:ascii="Courier New" w:hAnsi="Courier New" w:hint="default"/>
      </w:rPr>
    </w:lvl>
    <w:lvl w:ilvl="2" w:tplc="63C84CFE">
      <w:start w:val="1"/>
      <w:numFmt w:val="bullet"/>
      <w:lvlText w:val=""/>
      <w:lvlJc w:val="left"/>
      <w:pPr>
        <w:ind w:left="2160" w:hanging="360"/>
      </w:pPr>
      <w:rPr>
        <w:rFonts w:ascii="Wingdings" w:hAnsi="Wingdings" w:hint="default"/>
      </w:rPr>
    </w:lvl>
    <w:lvl w:ilvl="3" w:tplc="12441440">
      <w:start w:val="1"/>
      <w:numFmt w:val="bullet"/>
      <w:lvlText w:val=""/>
      <w:lvlJc w:val="left"/>
      <w:pPr>
        <w:ind w:left="2880" w:hanging="360"/>
      </w:pPr>
      <w:rPr>
        <w:rFonts w:ascii="Symbol" w:hAnsi="Symbol" w:hint="default"/>
      </w:rPr>
    </w:lvl>
    <w:lvl w:ilvl="4" w:tplc="34F62532">
      <w:start w:val="1"/>
      <w:numFmt w:val="bullet"/>
      <w:lvlText w:val="o"/>
      <w:lvlJc w:val="left"/>
      <w:pPr>
        <w:ind w:left="3600" w:hanging="360"/>
      </w:pPr>
      <w:rPr>
        <w:rFonts w:ascii="Courier New" w:hAnsi="Courier New" w:hint="default"/>
      </w:rPr>
    </w:lvl>
    <w:lvl w:ilvl="5" w:tplc="384289DC">
      <w:start w:val="1"/>
      <w:numFmt w:val="bullet"/>
      <w:lvlText w:val=""/>
      <w:lvlJc w:val="left"/>
      <w:pPr>
        <w:ind w:left="4320" w:hanging="360"/>
      </w:pPr>
      <w:rPr>
        <w:rFonts w:ascii="Wingdings" w:hAnsi="Wingdings" w:hint="default"/>
      </w:rPr>
    </w:lvl>
    <w:lvl w:ilvl="6" w:tplc="27705A0A">
      <w:start w:val="1"/>
      <w:numFmt w:val="bullet"/>
      <w:lvlText w:val=""/>
      <w:lvlJc w:val="left"/>
      <w:pPr>
        <w:ind w:left="5040" w:hanging="360"/>
      </w:pPr>
      <w:rPr>
        <w:rFonts w:ascii="Symbol" w:hAnsi="Symbol" w:hint="default"/>
      </w:rPr>
    </w:lvl>
    <w:lvl w:ilvl="7" w:tplc="BA303D80">
      <w:start w:val="1"/>
      <w:numFmt w:val="bullet"/>
      <w:lvlText w:val="o"/>
      <w:lvlJc w:val="left"/>
      <w:pPr>
        <w:ind w:left="5760" w:hanging="360"/>
      </w:pPr>
      <w:rPr>
        <w:rFonts w:ascii="Courier New" w:hAnsi="Courier New" w:hint="default"/>
      </w:rPr>
    </w:lvl>
    <w:lvl w:ilvl="8" w:tplc="D4E60DC4">
      <w:start w:val="1"/>
      <w:numFmt w:val="bullet"/>
      <w:lvlText w:val=""/>
      <w:lvlJc w:val="left"/>
      <w:pPr>
        <w:ind w:left="6480" w:hanging="360"/>
      </w:pPr>
      <w:rPr>
        <w:rFonts w:ascii="Wingdings" w:hAnsi="Wingdings" w:hint="default"/>
      </w:rPr>
    </w:lvl>
  </w:abstractNum>
  <w:abstractNum w:abstractNumId="1" w15:restartNumberingAfterBreak="0">
    <w:nsid w:val="179307D8"/>
    <w:multiLevelType w:val="hybridMultilevel"/>
    <w:tmpl w:val="138AEFF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E853E68"/>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3535967"/>
    <w:multiLevelType w:val="hybridMultilevel"/>
    <w:tmpl w:val="C984765E"/>
    <w:lvl w:ilvl="0" w:tplc="554EE7E4">
      <w:numFmt w:val="bullet"/>
      <w:lvlText w:val="-"/>
      <w:lvlJc w:val="left"/>
      <w:pPr>
        <w:ind w:left="720" w:hanging="360"/>
      </w:pPr>
      <w:rPr>
        <w:rFonts w:ascii="Times New Roman" w:eastAsia="Times New Roman"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37BB511B"/>
    <w:multiLevelType w:val="multilevel"/>
    <w:tmpl w:val="95102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4F7AC4"/>
    <w:multiLevelType w:val="hybridMultilevel"/>
    <w:tmpl w:val="AB1CC752"/>
    <w:lvl w:ilvl="0" w:tplc="DD00EB2C">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4820116"/>
    <w:multiLevelType w:val="hybridMultilevel"/>
    <w:tmpl w:val="1B7CD6EE"/>
    <w:lvl w:ilvl="0" w:tplc="084459D0">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6007F14F"/>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659D03F4"/>
    <w:multiLevelType w:val="hybridMultilevel"/>
    <w:tmpl w:val="AFC80B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75DCB894"/>
    <w:multiLevelType w:val="hybridMultilevel"/>
    <w:tmpl w:val="FFFFFFFF"/>
    <w:lvl w:ilvl="0" w:tplc="4E4870B0">
      <w:start w:val="1"/>
      <w:numFmt w:val="decimal"/>
      <w:lvlText w:val="(%1)"/>
      <w:lvlJc w:val="left"/>
      <w:pPr>
        <w:ind w:left="720" w:hanging="360"/>
      </w:pPr>
    </w:lvl>
    <w:lvl w:ilvl="1" w:tplc="818409AE">
      <w:start w:val="1"/>
      <w:numFmt w:val="lowerLetter"/>
      <w:lvlText w:val="%2."/>
      <w:lvlJc w:val="left"/>
      <w:pPr>
        <w:ind w:left="1440" w:hanging="360"/>
      </w:pPr>
    </w:lvl>
    <w:lvl w:ilvl="2" w:tplc="930A611E">
      <w:start w:val="1"/>
      <w:numFmt w:val="lowerRoman"/>
      <w:lvlText w:val="%3."/>
      <w:lvlJc w:val="right"/>
      <w:pPr>
        <w:ind w:left="2160" w:hanging="180"/>
      </w:pPr>
    </w:lvl>
    <w:lvl w:ilvl="3" w:tplc="462ED23C">
      <w:start w:val="1"/>
      <w:numFmt w:val="decimal"/>
      <w:lvlText w:val="%4."/>
      <w:lvlJc w:val="left"/>
      <w:pPr>
        <w:ind w:left="2880" w:hanging="360"/>
      </w:pPr>
    </w:lvl>
    <w:lvl w:ilvl="4" w:tplc="E65A8C4A">
      <w:start w:val="1"/>
      <w:numFmt w:val="lowerLetter"/>
      <w:lvlText w:val="%5."/>
      <w:lvlJc w:val="left"/>
      <w:pPr>
        <w:ind w:left="3600" w:hanging="360"/>
      </w:pPr>
    </w:lvl>
    <w:lvl w:ilvl="5" w:tplc="7DEC3902">
      <w:start w:val="1"/>
      <w:numFmt w:val="lowerRoman"/>
      <w:lvlText w:val="%6."/>
      <w:lvlJc w:val="right"/>
      <w:pPr>
        <w:ind w:left="4320" w:hanging="180"/>
      </w:pPr>
    </w:lvl>
    <w:lvl w:ilvl="6" w:tplc="7074894C">
      <w:start w:val="1"/>
      <w:numFmt w:val="decimal"/>
      <w:lvlText w:val="%7."/>
      <w:lvlJc w:val="left"/>
      <w:pPr>
        <w:ind w:left="5040" w:hanging="360"/>
      </w:pPr>
    </w:lvl>
    <w:lvl w:ilvl="7" w:tplc="C8FAD9F6">
      <w:start w:val="1"/>
      <w:numFmt w:val="lowerLetter"/>
      <w:lvlText w:val="%8."/>
      <w:lvlJc w:val="left"/>
      <w:pPr>
        <w:ind w:left="5760" w:hanging="360"/>
      </w:pPr>
    </w:lvl>
    <w:lvl w:ilvl="8" w:tplc="65A6E9BE">
      <w:start w:val="1"/>
      <w:numFmt w:val="lowerRoman"/>
      <w:lvlText w:val="%9."/>
      <w:lvlJc w:val="right"/>
      <w:pPr>
        <w:ind w:left="6480" w:hanging="180"/>
      </w:pPr>
    </w:lvl>
  </w:abstractNum>
  <w:abstractNum w:abstractNumId="10" w15:restartNumberingAfterBreak="0">
    <w:nsid w:val="7C161B97"/>
    <w:multiLevelType w:val="multilevel"/>
    <w:tmpl w:val="7FB0E4A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09497154">
    <w:abstractNumId w:val="0"/>
  </w:num>
  <w:num w:numId="2" w16cid:durableId="1271744639">
    <w:abstractNumId w:val="10"/>
  </w:num>
  <w:num w:numId="3" w16cid:durableId="886840365">
    <w:abstractNumId w:val="6"/>
  </w:num>
  <w:num w:numId="4" w16cid:durableId="1005476698">
    <w:abstractNumId w:val="7"/>
  </w:num>
  <w:num w:numId="5" w16cid:durableId="980888561">
    <w:abstractNumId w:val="2"/>
  </w:num>
  <w:num w:numId="6" w16cid:durableId="1271668809">
    <w:abstractNumId w:val="3"/>
  </w:num>
  <w:num w:numId="7" w16cid:durableId="1863586427">
    <w:abstractNumId w:val="8"/>
  </w:num>
  <w:num w:numId="8" w16cid:durableId="628164516">
    <w:abstractNumId w:val="4"/>
  </w:num>
  <w:num w:numId="9" w16cid:durableId="786510427">
    <w:abstractNumId w:val="9"/>
  </w:num>
  <w:num w:numId="10" w16cid:durableId="217473174">
    <w:abstractNumId w:val="5"/>
  </w:num>
  <w:num w:numId="11" w16cid:durableId="1081491057">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proofState w:spelling="clean" w:grammar="clean"/>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ACCOMPAGNANT.CP" w:val="Accompanying the document"/>
    <w:docVar w:name="LW_CORRIGENDUM" w:val="&lt;UNUSED&gt;"/>
    <w:docVar w:name="LW_COVERPAGE_EXISTS" w:val="True"/>
    <w:docVar w:name="LW_COVERPAGE_GUID" w:val="AF52FEEC-1EC7-413C-8B3B-4E93F513A305"/>
    <w:docVar w:name="LW_COVERPAGE_TYPE" w:val="1"/>
    <w:docVar w:name="LW_CROSSREFERENCE" w:val="{COM(2025) 990 final/2}"/>
    <w:docVar w:name="LW_DocType" w:val="NORMAL"/>
    <w:docVar w:name="LW_EMISSION" w:val="16.3.2026"/>
    <w:docVar w:name="LW_EMISSION_ISODATE" w:val="2026-03-16"/>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establishing the Temporary Decarbonisation Fund"/>
    <w:docVar w:name="LW_PART_NBR" w:val="1"/>
    <w:docVar w:name="LW_PART_NBR_TOTAL" w:val="1"/>
    <w:docVar w:name="LW_REF.INST.NEW" w:val="SWD"/>
    <w:docVar w:name="LW_REF.INST.NEW_ADOPTED" w:val="final"/>
    <w:docVar w:name="LW_REF.INST.NEW_TEXT" w:val="(2026) 6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
    <w:docVar w:name="LW_TYPEACTEPRINCIPAL.CP" w:val="Proposal for a REGULATION OF THE EUROPEAN PARLIAMENT AND OF THE COUNCIL"/>
    <w:docVar w:name="LwApiVersions" w:val="LW4CoDe 1.24.5.0; LW 9.2, Build 20251112"/>
  </w:docVars>
  <w:rsids>
    <w:rsidRoot w:val="00782CEA"/>
    <w:rsid w:val="00000B49"/>
    <w:rsid w:val="00000D10"/>
    <w:rsid w:val="0000114F"/>
    <w:rsid w:val="0000154C"/>
    <w:rsid w:val="00001C1D"/>
    <w:rsid w:val="00001FDE"/>
    <w:rsid w:val="00002148"/>
    <w:rsid w:val="00002290"/>
    <w:rsid w:val="00002319"/>
    <w:rsid w:val="000025AA"/>
    <w:rsid w:val="00002843"/>
    <w:rsid w:val="00002C08"/>
    <w:rsid w:val="0000371B"/>
    <w:rsid w:val="00004017"/>
    <w:rsid w:val="00004050"/>
    <w:rsid w:val="000043A4"/>
    <w:rsid w:val="0000496A"/>
    <w:rsid w:val="00004A86"/>
    <w:rsid w:val="00004C1A"/>
    <w:rsid w:val="00004F3C"/>
    <w:rsid w:val="000052C4"/>
    <w:rsid w:val="0000586B"/>
    <w:rsid w:val="000058CC"/>
    <w:rsid w:val="00006610"/>
    <w:rsid w:val="0000692D"/>
    <w:rsid w:val="00006D81"/>
    <w:rsid w:val="00006F13"/>
    <w:rsid w:val="00007152"/>
    <w:rsid w:val="000072E7"/>
    <w:rsid w:val="000073E8"/>
    <w:rsid w:val="0000759B"/>
    <w:rsid w:val="00007865"/>
    <w:rsid w:val="00007F12"/>
    <w:rsid w:val="00010007"/>
    <w:rsid w:val="000102FC"/>
    <w:rsid w:val="00010321"/>
    <w:rsid w:val="00011016"/>
    <w:rsid w:val="00011950"/>
    <w:rsid w:val="00011BD1"/>
    <w:rsid w:val="00011C06"/>
    <w:rsid w:val="00011FCD"/>
    <w:rsid w:val="00011FE5"/>
    <w:rsid w:val="000120AA"/>
    <w:rsid w:val="0001236C"/>
    <w:rsid w:val="00012810"/>
    <w:rsid w:val="00012A50"/>
    <w:rsid w:val="00012BA2"/>
    <w:rsid w:val="00012DF9"/>
    <w:rsid w:val="00012F9E"/>
    <w:rsid w:val="00013046"/>
    <w:rsid w:val="0001368F"/>
    <w:rsid w:val="00013839"/>
    <w:rsid w:val="00013904"/>
    <w:rsid w:val="00013939"/>
    <w:rsid w:val="00013D13"/>
    <w:rsid w:val="00013D43"/>
    <w:rsid w:val="00014577"/>
    <w:rsid w:val="0001485C"/>
    <w:rsid w:val="00015C37"/>
    <w:rsid w:val="0001670E"/>
    <w:rsid w:val="00017414"/>
    <w:rsid w:val="00017736"/>
    <w:rsid w:val="00017928"/>
    <w:rsid w:val="00017F6D"/>
    <w:rsid w:val="00020728"/>
    <w:rsid w:val="00020AEF"/>
    <w:rsid w:val="00020BC8"/>
    <w:rsid w:val="00020D90"/>
    <w:rsid w:val="00020F51"/>
    <w:rsid w:val="000216ED"/>
    <w:rsid w:val="00021D95"/>
    <w:rsid w:val="00022103"/>
    <w:rsid w:val="0002245A"/>
    <w:rsid w:val="000226EB"/>
    <w:rsid w:val="00022B4D"/>
    <w:rsid w:val="00022F5F"/>
    <w:rsid w:val="000230F6"/>
    <w:rsid w:val="0002366F"/>
    <w:rsid w:val="00024B42"/>
    <w:rsid w:val="00024C0E"/>
    <w:rsid w:val="00024EB6"/>
    <w:rsid w:val="000250AD"/>
    <w:rsid w:val="00025269"/>
    <w:rsid w:val="0002541E"/>
    <w:rsid w:val="00025617"/>
    <w:rsid w:val="00025D12"/>
    <w:rsid w:val="00026E26"/>
    <w:rsid w:val="0002728B"/>
    <w:rsid w:val="0002729A"/>
    <w:rsid w:val="000274F6"/>
    <w:rsid w:val="00027833"/>
    <w:rsid w:val="00027B92"/>
    <w:rsid w:val="000300E0"/>
    <w:rsid w:val="0003089C"/>
    <w:rsid w:val="00030B94"/>
    <w:rsid w:val="00031E89"/>
    <w:rsid w:val="00032416"/>
    <w:rsid w:val="000326FB"/>
    <w:rsid w:val="00032DF7"/>
    <w:rsid w:val="0003355F"/>
    <w:rsid w:val="000337CC"/>
    <w:rsid w:val="00034352"/>
    <w:rsid w:val="000345C5"/>
    <w:rsid w:val="00034914"/>
    <w:rsid w:val="00034AE4"/>
    <w:rsid w:val="00034B6F"/>
    <w:rsid w:val="00034E1F"/>
    <w:rsid w:val="00035319"/>
    <w:rsid w:val="00035511"/>
    <w:rsid w:val="0003585C"/>
    <w:rsid w:val="00035EE4"/>
    <w:rsid w:val="0003634C"/>
    <w:rsid w:val="0003657C"/>
    <w:rsid w:val="0003691F"/>
    <w:rsid w:val="00036A78"/>
    <w:rsid w:val="00036A85"/>
    <w:rsid w:val="00036E66"/>
    <w:rsid w:val="00037604"/>
    <w:rsid w:val="0003778A"/>
    <w:rsid w:val="00037A13"/>
    <w:rsid w:val="0004006B"/>
    <w:rsid w:val="0004069C"/>
    <w:rsid w:val="000409A7"/>
    <w:rsid w:val="00040BB3"/>
    <w:rsid w:val="00040C7D"/>
    <w:rsid w:val="00040E71"/>
    <w:rsid w:val="000424CC"/>
    <w:rsid w:val="00043035"/>
    <w:rsid w:val="000432EB"/>
    <w:rsid w:val="0004459E"/>
    <w:rsid w:val="00044D75"/>
    <w:rsid w:val="000454FC"/>
    <w:rsid w:val="00046645"/>
    <w:rsid w:val="0004665A"/>
    <w:rsid w:val="00046C89"/>
    <w:rsid w:val="00046D38"/>
    <w:rsid w:val="00047828"/>
    <w:rsid w:val="000478DC"/>
    <w:rsid w:val="00047D66"/>
    <w:rsid w:val="00047ED3"/>
    <w:rsid w:val="00050628"/>
    <w:rsid w:val="0005065E"/>
    <w:rsid w:val="00050881"/>
    <w:rsid w:val="00050C05"/>
    <w:rsid w:val="00050DFE"/>
    <w:rsid w:val="0005110E"/>
    <w:rsid w:val="0005115A"/>
    <w:rsid w:val="0005169E"/>
    <w:rsid w:val="000517FC"/>
    <w:rsid w:val="00051F08"/>
    <w:rsid w:val="0005202B"/>
    <w:rsid w:val="0005222D"/>
    <w:rsid w:val="0005262B"/>
    <w:rsid w:val="00052889"/>
    <w:rsid w:val="00052BB7"/>
    <w:rsid w:val="00052C25"/>
    <w:rsid w:val="00052FA6"/>
    <w:rsid w:val="000537DC"/>
    <w:rsid w:val="0005399A"/>
    <w:rsid w:val="00053FFE"/>
    <w:rsid w:val="0005401C"/>
    <w:rsid w:val="0005403C"/>
    <w:rsid w:val="000543F7"/>
    <w:rsid w:val="00054E91"/>
    <w:rsid w:val="00055145"/>
    <w:rsid w:val="0005591D"/>
    <w:rsid w:val="00055A6D"/>
    <w:rsid w:val="00055DFE"/>
    <w:rsid w:val="00056453"/>
    <w:rsid w:val="000564E8"/>
    <w:rsid w:val="0005678F"/>
    <w:rsid w:val="00056BA8"/>
    <w:rsid w:val="00056DE1"/>
    <w:rsid w:val="00057133"/>
    <w:rsid w:val="00057291"/>
    <w:rsid w:val="000574C0"/>
    <w:rsid w:val="00057858"/>
    <w:rsid w:val="00057ADE"/>
    <w:rsid w:val="00057B92"/>
    <w:rsid w:val="00057CC4"/>
    <w:rsid w:val="00057EEA"/>
    <w:rsid w:val="000600ED"/>
    <w:rsid w:val="000601B7"/>
    <w:rsid w:val="0006028C"/>
    <w:rsid w:val="0006074D"/>
    <w:rsid w:val="000609AF"/>
    <w:rsid w:val="00060A16"/>
    <w:rsid w:val="00061197"/>
    <w:rsid w:val="000613EA"/>
    <w:rsid w:val="00061746"/>
    <w:rsid w:val="0006179C"/>
    <w:rsid w:val="0006189B"/>
    <w:rsid w:val="0006248B"/>
    <w:rsid w:val="00062A3C"/>
    <w:rsid w:val="0006355A"/>
    <w:rsid w:val="00063825"/>
    <w:rsid w:val="00063880"/>
    <w:rsid w:val="00063B7C"/>
    <w:rsid w:val="00064645"/>
    <w:rsid w:val="0006493F"/>
    <w:rsid w:val="00064B05"/>
    <w:rsid w:val="00064C4E"/>
    <w:rsid w:val="00064C5D"/>
    <w:rsid w:val="00064D4D"/>
    <w:rsid w:val="00064E41"/>
    <w:rsid w:val="000653B4"/>
    <w:rsid w:val="000656A0"/>
    <w:rsid w:val="00065BBA"/>
    <w:rsid w:val="00065CB9"/>
    <w:rsid w:val="0006630B"/>
    <w:rsid w:val="0006635C"/>
    <w:rsid w:val="000666C8"/>
    <w:rsid w:val="00066CF4"/>
    <w:rsid w:val="00066DAB"/>
    <w:rsid w:val="00066DED"/>
    <w:rsid w:val="00066E8B"/>
    <w:rsid w:val="00067CE6"/>
    <w:rsid w:val="00067D53"/>
    <w:rsid w:val="000700A7"/>
    <w:rsid w:val="000700C4"/>
    <w:rsid w:val="0007019B"/>
    <w:rsid w:val="000701E6"/>
    <w:rsid w:val="00070948"/>
    <w:rsid w:val="000709A0"/>
    <w:rsid w:val="00072C5B"/>
    <w:rsid w:val="00072CF5"/>
    <w:rsid w:val="00072E39"/>
    <w:rsid w:val="0007302E"/>
    <w:rsid w:val="00073399"/>
    <w:rsid w:val="00073454"/>
    <w:rsid w:val="00073587"/>
    <w:rsid w:val="000738FE"/>
    <w:rsid w:val="00073A0E"/>
    <w:rsid w:val="0007429F"/>
    <w:rsid w:val="00074767"/>
    <w:rsid w:val="000749C8"/>
    <w:rsid w:val="00074B6F"/>
    <w:rsid w:val="00074F43"/>
    <w:rsid w:val="00076168"/>
    <w:rsid w:val="00076374"/>
    <w:rsid w:val="00076864"/>
    <w:rsid w:val="00076B68"/>
    <w:rsid w:val="00076BA6"/>
    <w:rsid w:val="00076CB0"/>
    <w:rsid w:val="00076F77"/>
    <w:rsid w:val="00076FA7"/>
    <w:rsid w:val="000773F8"/>
    <w:rsid w:val="0007772B"/>
    <w:rsid w:val="00077E9C"/>
    <w:rsid w:val="00080548"/>
    <w:rsid w:val="0008055E"/>
    <w:rsid w:val="00080591"/>
    <w:rsid w:val="0008132C"/>
    <w:rsid w:val="00081B26"/>
    <w:rsid w:val="0008214D"/>
    <w:rsid w:val="000827B5"/>
    <w:rsid w:val="000828D0"/>
    <w:rsid w:val="000829CB"/>
    <w:rsid w:val="00082DE6"/>
    <w:rsid w:val="00082EA1"/>
    <w:rsid w:val="0008315B"/>
    <w:rsid w:val="00083886"/>
    <w:rsid w:val="000842C0"/>
    <w:rsid w:val="00084B71"/>
    <w:rsid w:val="00085377"/>
    <w:rsid w:val="0008548D"/>
    <w:rsid w:val="00085970"/>
    <w:rsid w:val="00085FE2"/>
    <w:rsid w:val="0008669A"/>
    <w:rsid w:val="00086E18"/>
    <w:rsid w:val="000870FC"/>
    <w:rsid w:val="00087143"/>
    <w:rsid w:val="00087224"/>
    <w:rsid w:val="00087479"/>
    <w:rsid w:val="00087AD6"/>
    <w:rsid w:val="00087F90"/>
    <w:rsid w:val="00090369"/>
    <w:rsid w:val="00090447"/>
    <w:rsid w:val="00090786"/>
    <w:rsid w:val="0009086E"/>
    <w:rsid w:val="00091366"/>
    <w:rsid w:val="000913E2"/>
    <w:rsid w:val="00091781"/>
    <w:rsid w:val="0009183C"/>
    <w:rsid w:val="00091AA2"/>
    <w:rsid w:val="00091D57"/>
    <w:rsid w:val="00092573"/>
    <w:rsid w:val="0009266F"/>
    <w:rsid w:val="000933E5"/>
    <w:rsid w:val="000948A3"/>
    <w:rsid w:val="00094A74"/>
    <w:rsid w:val="00094B25"/>
    <w:rsid w:val="00094FBB"/>
    <w:rsid w:val="00095DD2"/>
    <w:rsid w:val="000961E0"/>
    <w:rsid w:val="000961F1"/>
    <w:rsid w:val="000962AF"/>
    <w:rsid w:val="00096428"/>
    <w:rsid w:val="00096641"/>
    <w:rsid w:val="00096D2F"/>
    <w:rsid w:val="00097321"/>
    <w:rsid w:val="00097930"/>
    <w:rsid w:val="000979D9"/>
    <w:rsid w:val="000A046C"/>
    <w:rsid w:val="000A05CD"/>
    <w:rsid w:val="000A07D4"/>
    <w:rsid w:val="000A0B6F"/>
    <w:rsid w:val="000A0D8C"/>
    <w:rsid w:val="000A1195"/>
    <w:rsid w:val="000A129E"/>
    <w:rsid w:val="000A1431"/>
    <w:rsid w:val="000A1714"/>
    <w:rsid w:val="000A2502"/>
    <w:rsid w:val="000A267E"/>
    <w:rsid w:val="000A2E05"/>
    <w:rsid w:val="000A343F"/>
    <w:rsid w:val="000A35C4"/>
    <w:rsid w:val="000A3883"/>
    <w:rsid w:val="000A38FC"/>
    <w:rsid w:val="000A3C1E"/>
    <w:rsid w:val="000A4056"/>
    <w:rsid w:val="000A419E"/>
    <w:rsid w:val="000A43E6"/>
    <w:rsid w:val="000A4512"/>
    <w:rsid w:val="000A4588"/>
    <w:rsid w:val="000A46A9"/>
    <w:rsid w:val="000A47BA"/>
    <w:rsid w:val="000A49E3"/>
    <w:rsid w:val="000A4C82"/>
    <w:rsid w:val="000A4E51"/>
    <w:rsid w:val="000A5062"/>
    <w:rsid w:val="000A541A"/>
    <w:rsid w:val="000A560E"/>
    <w:rsid w:val="000A5B51"/>
    <w:rsid w:val="000A672D"/>
    <w:rsid w:val="000A6742"/>
    <w:rsid w:val="000A69EA"/>
    <w:rsid w:val="000A69EB"/>
    <w:rsid w:val="000A6C11"/>
    <w:rsid w:val="000A6C85"/>
    <w:rsid w:val="000A7173"/>
    <w:rsid w:val="000A7875"/>
    <w:rsid w:val="000A79B4"/>
    <w:rsid w:val="000A7B8B"/>
    <w:rsid w:val="000A7BC1"/>
    <w:rsid w:val="000A7C18"/>
    <w:rsid w:val="000B0056"/>
    <w:rsid w:val="000B07E5"/>
    <w:rsid w:val="000B0F83"/>
    <w:rsid w:val="000B1BD2"/>
    <w:rsid w:val="000B210A"/>
    <w:rsid w:val="000B29CA"/>
    <w:rsid w:val="000B2E30"/>
    <w:rsid w:val="000B2ED2"/>
    <w:rsid w:val="000B315C"/>
    <w:rsid w:val="000B3BBA"/>
    <w:rsid w:val="000B3CB7"/>
    <w:rsid w:val="000B469B"/>
    <w:rsid w:val="000B4B17"/>
    <w:rsid w:val="000B5272"/>
    <w:rsid w:val="000B5B95"/>
    <w:rsid w:val="000B5D51"/>
    <w:rsid w:val="000B6265"/>
    <w:rsid w:val="000B6390"/>
    <w:rsid w:val="000B6521"/>
    <w:rsid w:val="000B6870"/>
    <w:rsid w:val="000B773B"/>
    <w:rsid w:val="000B7D5C"/>
    <w:rsid w:val="000C07DD"/>
    <w:rsid w:val="000C08DA"/>
    <w:rsid w:val="000C095A"/>
    <w:rsid w:val="000C0D02"/>
    <w:rsid w:val="000C127D"/>
    <w:rsid w:val="000C1601"/>
    <w:rsid w:val="000C198B"/>
    <w:rsid w:val="000C1FB5"/>
    <w:rsid w:val="000C2235"/>
    <w:rsid w:val="000C2532"/>
    <w:rsid w:val="000C2980"/>
    <w:rsid w:val="000C2AD8"/>
    <w:rsid w:val="000C2DE9"/>
    <w:rsid w:val="000C2E00"/>
    <w:rsid w:val="000C329B"/>
    <w:rsid w:val="000C3F2A"/>
    <w:rsid w:val="000C4111"/>
    <w:rsid w:val="000C4640"/>
    <w:rsid w:val="000C4879"/>
    <w:rsid w:val="000C4B74"/>
    <w:rsid w:val="000C4E69"/>
    <w:rsid w:val="000C4F1B"/>
    <w:rsid w:val="000C4F9B"/>
    <w:rsid w:val="000C511C"/>
    <w:rsid w:val="000C54E6"/>
    <w:rsid w:val="000C556D"/>
    <w:rsid w:val="000C56C9"/>
    <w:rsid w:val="000C5836"/>
    <w:rsid w:val="000C6E3D"/>
    <w:rsid w:val="000C72E0"/>
    <w:rsid w:val="000C7A0D"/>
    <w:rsid w:val="000C7D7A"/>
    <w:rsid w:val="000C7E8C"/>
    <w:rsid w:val="000D07E4"/>
    <w:rsid w:val="000D0A4F"/>
    <w:rsid w:val="000D12BF"/>
    <w:rsid w:val="000D135E"/>
    <w:rsid w:val="000D1596"/>
    <w:rsid w:val="000D160B"/>
    <w:rsid w:val="000D1722"/>
    <w:rsid w:val="000D1BF6"/>
    <w:rsid w:val="000D244E"/>
    <w:rsid w:val="000D2A41"/>
    <w:rsid w:val="000D2DFC"/>
    <w:rsid w:val="000D333E"/>
    <w:rsid w:val="000D35A8"/>
    <w:rsid w:val="000D396B"/>
    <w:rsid w:val="000D39E7"/>
    <w:rsid w:val="000D3A52"/>
    <w:rsid w:val="000D3C8A"/>
    <w:rsid w:val="000D4881"/>
    <w:rsid w:val="000D4944"/>
    <w:rsid w:val="000D4C1D"/>
    <w:rsid w:val="000D4CEB"/>
    <w:rsid w:val="000D52CE"/>
    <w:rsid w:val="000D569B"/>
    <w:rsid w:val="000D5E76"/>
    <w:rsid w:val="000D6239"/>
    <w:rsid w:val="000D650A"/>
    <w:rsid w:val="000D65B7"/>
    <w:rsid w:val="000D66AF"/>
    <w:rsid w:val="000D6717"/>
    <w:rsid w:val="000D6885"/>
    <w:rsid w:val="000D6B80"/>
    <w:rsid w:val="000D7424"/>
    <w:rsid w:val="000D742F"/>
    <w:rsid w:val="000D74A0"/>
    <w:rsid w:val="000D7651"/>
    <w:rsid w:val="000D7845"/>
    <w:rsid w:val="000D7ACA"/>
    <w:rsid w:val="000E04FB"/>
    <w:rsid w:val="000E0500"/>
    <w:rsid w:val="000E06A2"/>
    <w:rsid w:val="000E0C2C"/>
    <w:rsid w:val="000E11DF"/>
    <w:rsid w:val="000E18F1"/>
    <w:rsid w:val="000E1CA2"/>
    <w:rsid w:val="000E1FAA"/>
    <w:rsid w:val="000E2BB3"/>
    <w:rsid w:val="000E2CCD"/>
    <w:rsid w:val="000E38D4"/>
    <w:rsid w:val="000E3E01"/>
    <w:rsid w:val="000E3E38"/>
    <w:rsid w:val="000E481A"/>
    <w:rsid w:val="000E4CBB"/>
    <w:rsid w:val="000E50BC"/>
    <w:rsid w:val="000E5301"/>
    <w:rsid w:val="000E55F1"/>
    <w:rsid w:val="000E64D3"/>
    <w:rsid w:val="000E6534"/>
    <w:rsid w:val="000E679E"/>
    <w:rsid w:val="000E68C0"/>
    <w:rsid w:val="000E6B2B"/>
    <w:rsid w:val="000E6BA4"/>
    <w:rsid w:val="000E6DAF"/>
    <w:rsid w:val="000E6DE3"/>
    <w:rsid w:val="000E713F"/>
    <w:rsid w:val="000E71C1"/>
    <w:rsid w:val="000E762C"/>
    <w:rsid w:val="000E7852"/>
    <w:rsid w:val="000E7F0C"/>
    <w:rsid w:val="000F0922"/>
    <w:rsid w:val="000F09EA"/>
    <w:rsid w:val="000F1395"/>
    <w:rsid w:val="000F1569"/>
    <w:rsid w:val="000F1748"/>
    <w:rsid w:val="000F1C9D"/>
    <w:rsid w:val="000F1DB1"/>
    <w:rsid w:val="000F1F24"/>
    <w:rsid w:val="000F1FA3"/>
    <w:rsid w:val="000F2009"/>
    <w:rsid w:val="000F232B"/>
    <w:rsid w:val="000F2ACE"/>
    <w:rsid w:val="000F2AD0"/>
    <w:rsid w:val="000F2FA3"/>
    <w:rsid w:val="000F3363"/>
    <w:rsid w:val="000F3607"/>
    <w:rsid w:val="000F3AF1"/>
    <w:rsid w:val="000F40CA"/>
    <w:rsid w:val="000F4813"/>
    <w:rsid w:val="000F4BE1"/>
    <w:rsid w:val="000F4E99"/>
    <w:rsid w:val="000F574A"/>
    <w:rsid w:val="000F5827"/>
    <w:rsid w:val="000F585E"/>
    <w:rsid w:val="000F5F79"/>
    <w:rsid w:val="000F712A"/>
    <w:rsid w:val="000F7493"/>
    <w:rsid w:val="000F7505"/>
    <w:rsid w:val="000F78BC"/>
    <w:rsid w:val="000F790A"/>
    <w:rsid w:val="00100243"/>
    <w:rsid w:val="001007C3"/>
    <w:rsid w:val="00100E82"/>
    <w:rsid w:val="0010118B"/>
    <w:rsid w:val="00101376"/>
    <w:rsid w:val="001014E7"/>
    <w:rsid w:val="0010177F"/>
    <w:rsid w:val="00101791"/>
    <w:rsid w:val="0010197D"/>
    <w:rsid w:val="001019B7"/>
    <w:rsid w:val="00101C5C"/>
    <w:rsid w:val="001021DE"/>
    <w:rsid w:val="00102262"/>
    <w:rsid w:val="001023FD"/>
    <w:rsid w:val="00102537"/>
    <w:rsid w:val="00102880"/>
    <w:rsid w:val="0010352B"/>
    <w:rsid w:val="00103980"/>
    <w:rsid w:val="00103B0E"/>
    <w:rsid w:val="00103E8D"/>
    <w:rsid w:val="00103F32"/>
    <w:rsid w:val="001045AE"/>
    <w:rsid w:val="00104929"/>
    <w:rsid w:val="0010543A"/>
    <w:rsid w:val="00106124"/>
    <w:rsid w:val="00106CA2"/>
    <w:rsid w:val="00106D19"/>
    <w:rsid w:val="0010783D"/>
    <w:rsid w:val="00107986"/>
    <w:rsid w:val="00107AAE"/>
    <w:rsid w:val="00107D78"/>
    <w:rsid w:val="00110389"/>
    <w:rsid w:val="00111078"/>
    <w:rsid w:val="0011169C"/>
    <w:rsid w:val="001117DF"/>
    <w:rsid w:val="00111D73"/>
    <w:rsid w:val="00111EE7"/>
    <w:rsid w:val="001122C0"/>
    <w:rsid w:val="0011233D"/>
    <w:rsid w:val="00112569"/>
    <w:rsid w:val="00112570"/>
    <w:rsid w:val="0011257A"/>
    <w:rsid w:val="00112607"/>
    <w:rsid w:val="0011298B"/>
    <w:rsid w:val="0011308C"/>
    <w:rsid w:val="0011317E"/>
    <w:rsid w:val="001132FD"/>
    <w:rsid w:val="001133D9"/>
    <w:rsid w:val="00113784"/>
    <w:rsid w:val="00113C65"/>
    <w:rsid w:val="00113CBC"/>
    <w:rsid w:val="0011459B"/>
    <w:rsid w:val="001149AD"/>
    <w:rsid w:val="00114F34"/>
    <w:rsid w:val="00114F3A"/>
    <w:rsid w:val="00115058"/>
    <w:rsid w:val="001153E0"/>
    <w:rsid w:val="001159AA"/>
    <w:rsid w:val="00115D8B"/>
    <w:rsid w:val="00116274"/>
    <w:rsid w:val="0011667C"/>
    <w:rsid w:val="00116BA8"/>
    <w:rsid w:val="00116EDF"/>
    <w:rsid w:val="0011712C"/>
    <w:rsid w:val="0011747F"/>
    <w:rsid w:val="00117742"/>
    <w:rsid w:val="00117C44"/>
    <w:rsid w:val="00120186"/>
    <w:rsid w:val="00120353"/>
    <w:rsid w:val="00120395"/>
    <w:rsid w:val="001204DF"/>
    <w:rsid w:val="00120B8F"/>
    <w:rsid w:val="00120CC9"/>
    <w:rsid w:val="00121249"/>
    <w:rsid w:val="00121F86"/>
    <w:rsid w:val="00122259"/>
    <w:rsid w:val="001222EE"/>
    <w:rsid w:val="00122C65"/>
    <w:rsid w:val="00122FE1"/>
    <w:rsid w:val="0012307D"/>
    <w:rsid w:val="001230F8"/>
    <w:rsid w:val="001234FB"/>
    <w:rsid w:val="00123B0C"/>
    <w:rsid w:val="00123C8D"/>
    <w:rsid w:val="00124074"/>
    <w:rsid w:val="001243C1"/>
    <w:rsid w:val="001246B2"/>
    <w:rsid w:val="00124927"/>
    <w:rsid w:val="001249C7"/>
    <w:rsid w:val="001256A5"/>
    <w:rsid w:val="0012577C"/>
    <w:rsid w:val="00125965"/>
    <w:rsid w:val="00125B85"/>
    <w:rsid w:val="001266E7"/>
    <w:rsid w:val="0012781F"/>
    <w:rsid w:val="00127E7D"/>
    <w:rsid w:val="001309DB"/>
    <w:rsid w:val="00130A53"/>
    <w:rsid w:val="00130BF0"/>
    <w:rsid w:val="00130C80"/>
    <w:rsid w:val="00130CA6"/>
    <w:rsid w:val="0013123D"/>
    <w:rsid w:val="00131D59"/>
    <w:rsid w:val="00131D9B"/>
    <w:rsid w:val="0013206C"/>
    <w:rsid w:val="00132532"/>
    <w:rsid w:val="001327AA"/>
    <w:rsid w:val="001327EE"/>
    <w:rsid w:val="00132D47"/>
    <w:rsid w:val="0013306B"/>
    <w:rsid w:val="001330C8"/>
    <w:rsid w:val="0013344D"/>
    <w:rsid w:val="001334BC"/>
    <w:rsid w:val="00134520"/>
    <w:rsid w:val="00134869"/>
    <w:rsid w:val="00134A3A"/>
    <w:rsid w:val="00134B06"/>
    <w:rsid w:val="0013503E"/>
    <w:rsid w:val="00135615"/>
    <w:rsid w:val="001361CE"/>
    <w:rsid w:val="00136CAF"/>
    <w:rsid w:val="00137352"/>
    <w:rsid w:val="00137465"/>
    <w:rsid w:val="001375B6"/>
    <w:rsid w:val="00137783"/>
    <w:rsid w:val="001377C8"/>
    <w:rsid w:val="00137B56"/>
    <w:rsid w:val="00137F72"/>
    <w:rsid w:val="00140480"/>
    <w:rsid w:val="001408EF"/>
    <w:rsid w:val="00140C10"/>
    <w:rsid w:val="00140C8D"/>
    <w:rsid w:val="00140C8E"/>
    <w:rsid w:val="00140E36"/>
    <w:rsid w:val="00140E54"/>
    <w:rsid w:val="00140E76"/>
    <w:rsid w:val="001414CA"/>
    <w:rsid w:val="00141519"/>
    <w:rsid w:val="0014181A"/>
    <w:rsid w:val="00141A55"/>
    <w:rsid w:val="00141B72"/>
    <w:rsid w:val="00141C2A"/>
    <w:rsid w:val="001428D7"/>
    <w:rsid w:val="00142B76"/>
    <w:rsid w:val="00142EB4"/>
    <w:rsid w:val="00143133"/>
    <w:rsid w:val="0014325C"/>
    <w:rsid w:val="0014349F"/>
    <w:rsid w:val="0014356D"/>
    <w:rsid w:val="001435A3"/>
    <w:rsid w:val="00143632"/>
    <w:rsid w:val="0014393C"/>
    <w:rsid w:val="00143AA8"/>
    <w:rsid w:val="00143AE3"/>
    <w:rsid w:val="00143B23"/>
    <w:rsid w:val="001440E2"/>
    <w:rsid w:val="001441B2"/>
    <w:rsid w:val="001443EF"/>
    <w:rsid w:val="00144457"/>
    <w:rsid w:val="001445E2"/>
    <w:rsid w:val="0014464F"/>
    <w:rsid w:val="001448FD"/>
    <w:rsid w:val="001450BA"/>
    <w:rsid w:val="001463C1"/>
    <w:rsid w:val="001465B3"/>
    <w:rsid w:val="001467B5"/>
    <w:rsid w:val="001467DD"/>
    <w:rsid w:val="001469AD"/>
    <w:rsid w:val="00146C0C"/>
    <w:rsid w:val="00146E60"/>
    <w:rsid w:val="00147341"/>
    <w:rsid w:val="00147714"/>
    <w:rsid w:val="0014783F"/>
    <w:rsid w:val="00147C0F"/>
    <w:rsid w:val="00147F6C"/>
    <w:rsid w:val="00150087"/>
    <w:rsid w:val="00150927"/>
    <w:rsid w:val="001509AC"/>
    <w:rsid w:val="00150B58"/>
    <w:rsid w:val="00150CDD"/>
    <w:rsid w:val="00150CE5"/>
    <w:rsid w:val="00150EE2"/>
    <w:rsid w:val="00151217"/>
    <w:rsid w:val="00151507"/>
    <w:rsid w:val="00151A6F"/>
    <w:rsid w:val="00151B42"/>
    <w:rsid w:val="00151BF9"/>
    <w:rsid w:val="00151C6F"/>
    <w:rsid w:val="00151D6E"/>
    <w:rsid w:val="00151F23"/>
    <w:rsid w:val="00152199"/>
    <w:rsid w:val="00152665"/>
    <w:rsid w:val="001528B1"/>
    <w:rsid w:val="00152D44"/>
    <w:rsid w:val="00153605"/>
    <w:rsid w:val="001536EA"/>
    <w:rsid w:val="00153D20"/>
    <w:rsid w:val="001544F1"/>
    <w:rsid w:val="00154D98"/>
    <w:rsid w:val="00155065"/>
    <w:rsid w:val="001557D1"/>
    <w:rsid w:val="001558BA"/>
    <w:rsid w:val="001563FA"/>
    <w:rsid w:val="00156547"/>
    <w:rsid w:val="00156553"/>
    <w:rsid w:val="00156B5F"/>
    <w:rsid w:val="00156D55"/>
    <w:rsid w:val="001576CF"/>
    <w:rsid w:val="00157929"/>
    <w:rsid w:val="001603E9"/>
    <w:rsid w:val="00160A85"/>
    <w:rsid w:val="00160AF1"/>
    <w:rsid w:val="0016102E"/>
    <w:rsid w:val="001611AB"/>
    <w:rsid w:val="001612EA"/>
    <w:rsid w:val="00161628"/>
    <w:rsid w:val="00161691"/>
    <w:rsid w:val="0016176B"/>
    <w:rsid w:val="00162096"/>
    <w:rsid w:val="001620DE"/>
    <w:rsid w:val="00162417"/>
    <w:rsid w:val="001624FA"/>
    <w:rsid w:val="00162700"/>
    <w:rsid w:val="00162816"/>
    <w:rsid w:val="00162D0E"/>
    <w:rsid w:val="00162DA6"/>
    <w:rsid w:val="0016351E"/>
    <w:rsid w:val="001636A1"/>
    <w:rsid w:val="0016387B"/>
    <w:rsid w:val="00163DE2"/>
    <w:rsid w:val="0016455B"/>
    <w:rsid w:val="00164696"/>
    <w:rsid w:val="00164724"/>
    <w:rsid w:val="00165748"/>
    <w:rsid w:val="00165E33"/>
    <w:rsid w:val="00165F6F"/>
    <w:rsid w:val="0016633C"/>
    <w:rsid w:val="001667C7"/>
    <w:rsid w:val="00166F99"/>
    <w:rsid w:val="001678C5"/>
    <w:rsid w:val="00167CED"/>
    <w:rsid w:val="0017053D"/>
    <w:rsid w:val="00171000"/>
    <w:rsid w:val="001711AF"/>
    <w:rsid w:val="00171693"/>
    <w:rsid w:val="00171E36"/>
    <w:rsid w:val="00172013"/>
    <w:rsid w:val="001726E5"/>
    <w:rsid w:val="00172D21"/>
    <w:rsid w:val="0017354E"/>
    <w:rsid w:val="00173706"/>
    <w:rsid w:val="00174DE1"/>
    <w:rsid w:val="00174DE4"/>
    <w:rsid w:val="00174F02"/>
    <w:rsid w:val="00174FC8"/>
    <w:rsid w:val="00175E78"/>
    <w:rsid w:val="00176109"/>
    <w:rsid w:val="00176274"/>
    <w:rsid w:val="00176314"/>
    <w:rsid w:val="00176442"/>
    <w:rsid w:val="00176682"/>
    <w:rsid w:val="00176B3F"/>
    <w:rsid w:val="00176C05"/>
    <w:rsid w:val="00176D0A"/>
    <w:rsid w:val="00176F65"/>
    <w:rsid w:val="001770A1"/>
    <w:rsid w:val="00177252"/>
    <w:rsid w:val="001772E1"/>
    <w:rsid w:val="00177461"/>
    <w:rsid w:val="001777A4"/>
    <w:rsid w:val="0017785E"/>
    <w:rsid w:val="00177C51"/>
    <w:rsid w:val="00177CAF"/>
    <w:rsid w:val="00177D4C"/>
    <w:rsid w:val="0018009E"/>
    <w:rsid w:val="001806D2"/>
    <w:rsid w:val="001807EA"/>
    <w:rsid w:val="00180A17"/>
    <w:rsid w:val="001810F0"/>
    <w:rsid w:val="0018138D"/>
    <w:rsid w:val="001822B0"/>
    <w:rsid w:val="00182A56"/>
    <w:rsid w:val="00182F69"/>
    <w:rsid w:val="00183069"/>
    <w:rsid w:val="001838C4"/>
    <w:rsid w:val="00183BA2"/>
    <w:rsid w:val="00183F23"/>
    <w:rsid w:val="00183FEE"/>
    <w:rsid w:val="00184095"/>
    <w:rsid w:val="001843AA"/>
    <w:rsid w:val="00184564"/>
    <w:rsid w:val="0018456F"/>
    <w:rsid w:val="00184575"/>
    <w:rsid w:val="00184614"/>
    <w:rsid w:val="00185B09"/>
    <w:rsid w:val="00186AB8"/>
    <w:rsid w:val="00186E48"/>
    <w:rsid w:val="00187069"/>
    <w:rsid w:val="001870BB"/>
    <w:rsid w:val="00187670"/>
    <w:rsid w:val="00187947"/>
    <w:rsid w:val="001879A8"/>
    <w:rsid w:val="00187B7B"/>
    <w:rsid w:val="00190588"/>
    <w:rsid w:val="00191B64"/>
    <w:rsid w:val="00191E90"/>
    <w:rsid w:val="00192B35"/>
    <w:rsid w:val="00192E5F"/>
    <w:rsid w:val="0019305E"/>
    <w:rsid w:val="001931B5"/>
    <w:rsid w:val="00193485"/>
    <w:rsid w:val="001936FE"/>
    <w:rsid w:val="00193DD0"/>
    <w:rsid w:val="0019416A"/>
    <w:rsid w:val="001941A2"/>
    <w:rsid w:val="0019453D"/>
    <w:rsid w:val="00194CDF"/>
    <w:rsid w:val="001950F7"/>
    <w:rsid w:val="00195E6A"/>
    <w:rsid w:val="00195FA2"/>
    <w:rsid w:val="0019610C"/>
    <w:rsid w:val="00196133"/>
    <w:rsid w:val="00196805"/>
    <w:rsid w:val="0019694C"/>
    <w:rsid w:val="00196DBD"/>
    <w:rsid w:val="00196EB5"/>
    <w:rsid w:val="00197631"/>
    <w:rsid w:val="00197B64"/>
    <w:rsid w:val="00197C5B"/>
    <w:rsid w:val="00197E27"/>
    <w:rsid w:val="00197E8A"/>
    <w:rsid w:val="001A00B5"/>
    <w:rsid w:val="001A0348"/>
    <w:rsid w:val="001A0CD6"/>
    <w:rsid w:val="001A1E1F"/>
    <w:rsid w:val="001A220B"/>
    <w:rsid w:val="001A2698"/>
    <w:rsid w:val="001A32BC"/>
    <w:rsid w:val="001A3B49"/>
    <w:rsid w:val="001A405B"/>
    <w:rsid w:val="001A4A43"/>
    <w:rsid w:val="001A501D"/>
    <w:rsid w:val="001A517C"/>
    <w:rsid w:val="001A53D3"/>
    <w:rsid w:val="001A541C"/>
    <w:rsid w:val="001A55D3"/>
    <w:rsid w:val="001A56A5"/>
    <w:rsid w:val="001A6410"/>
    <w:rsid w:val="001A660D"/>
    <w:rsid w:val="001A74A9"/>
    <w:rsid w:val="001A7658"/>
    <w:rsid w:val="001A7729"/>
    <w:rsid w:val="001A78D3"/>
    <w:rsid w:val="001B0111"/>
    <w:rsid w:val="001B0248"/>
    <w:rsid w:val="001B0335"/>
    <w:rsid w:val="001B0686"/>
    <w:rsid w:val="001B13E2"/>
    <w:rsid w:val="001B1819"/>
    <w:rsid w:val="001B19AB"/>
    <w:rsid w:val="001B2C15"/>
    <w:rsid w:val="001B2C94"/>
    <w:rsid w:val="001B2D0F"/>
    <w:rsid w:val="001B35D7"/>
    <w:rsid w:val="001B3B31"/>
    <w:rsid w:val="001B3F4E"/>
    <w:rsid w:val="001B4884"/>
    <w:rsid w:val="001B4E8D"/>
    <w:rsid w:val="001B5084"/>
    <w:rsid w:val="001B5A15"/>
    <w:rsid w:val="001B5A99"/>
    <w:rsid w:val="001B5EE7"/>
    <w:rsid w:val="001B61BA"/>
    <w:rsid w:val="001B697C"/>
    <w:rsid w:val="001B6C0B"/>
    <w:rsid w:val="001B6D11"/>
    <w:rsid w:val="001B752A"/>
    <w:rsid w:val="001B7974"/>
    <w:rsid w:val="001B7E18"/>
    <w:rsid w:val="001C0353"/>
    <w:rsid w:val="001C056F"/>
    <w:rsid w:val="001C0A64"/>
    <w:rsid w:val="001C0C36"/>
    <w:rsid w:val="001C0C48"/>
    <w:rsid w:val="001C1632"/>
    <w:rsid w:val="001C170B"/>
    <w:rsid w:val="001C192E"/>
    <w:rsid w:val="001C1C1A"/>
    <w:rsid w:val="001C2985"/>
    <w:rsid w:val="001C2E37"/>
    <w:rsid w:val="001C3286"/>
    <w:rsid w:val="001C32F2"/>
    <w:rsid w:val="001C330C"/>
    <w:rsid w:val="001C3402"/>
    <w:rsid w:val="001C3F90"/>
    <w:rsid w:val="001C408E"/>
    <w:rsid w:val="001C412D"/>
    <w:rsid w:val="001C416F"/>
    <w:rsid w:val="001C420F"/>
    <w:rsid w:val="001C425C"/>
    <w:rsid w:val="001C4529"/>
    <w:rsid w:val="001C4D68"/>
    <w:rsid w:val="001C5152"/>
    <w:rsid w:val="001C5478"/>
    <w:rsid w:val="001C6C3F"/>
    <w:rsid w:val="001C7258"/>
    <w:rsid w:val="001C7585"/>
    <w:rsid w:val="001C774C"/>
    <w:rsid w:val="001C7AE2"/>
    <w:rsid w:val="001C7C67"/>
    <w:rsid w:val="001D0171"/>
    <w:rsid w:val="001D0A54"/>
    <w:rsid w:val="001D0B24"/>
    <w:rsid w:val="001D0D22"/>
    <w:rsid w:val="001D0FF8"/>
    <w:rsid w:val="001D12D5"/>
    <w:rsid w:val="001D1A9E"/>
    <w:rsid w:val="001D1F17"/>
    <w:rsid w:val="001D3115"/>
    <w:rsid w:val="001D3E9B"/>
    <w:rsid w:val="001D42EE"/>
    <w:rsid w:val="001D4DD5"/>
    <w:rsid w:val="001D51A7"/>
    <w:rsid w:val="001D53B4"/>
    <w:rsid w:val="001D578C"/>
    <w:rsid w:val="001D5CE2"/>
    <w:rsid w:val="001D6168"/>
    <w:rsid w:val="001D660E"/>
    <w:rsid w:val="001D6749"/>
    <w:rsid w:val="001D6AE3"/>
    <w:rsid w:val="001D6B80"/>
    <w:rsid w:val="001D6BC6"/>
    <w:rsid w:val="001D6DF8"/>
    <w:rsid w:val="001D6F80"/>
    <w:rsid w:val="001D75D6"/>
    <w:rsid w:val="001D7CB7"/>
    <w:rsid w:val="001D7E37"/>
    <w:rsid w:val="001E0039"/>
    <w:rsid w:val="001E027E"/>
    <w:rsid w:val="001E06FE"/>
    <w:rsid w:val="001E2264"/>
    <w:rsid w:val="001E2CDF"/>
    <w:rsid w:val="001E3013"/>
    <w:rsid w:val="001E3382"/>
    <w:rsid w:val="001E37B3"/>
    <w:rsid w:val="001E38A2"/>
    <w:rsid w:val="001E39D4"/>
    <w:rsid w:val="001E3C01"/>
    <w:rsid w:val="001E3DDC"/>
    <w:rsid w:val="001E4182"/>
    <w:rsid w:val="001E4307"/>
    <w:rsid w:val="001E474E"/>
    <w:rsid w:val="001E4A77"/>
    <w:rsid w:val="001E4C21"/>
    <w:rsid w:val="001E4C44"/>
    <w:rsid w:val="001E4CDF"/>
    <w:rsid w:val="001E4E6F"/>
    <w:rsid w:val="001E54C6"/>
    <w:rsid w:val="001E58CD"/>
    <w:rsid w:val="001E6273"/>
    <w:rsid w:val="001E63BF"/>
    <w:rsid w:val="001E6E7F"/>
    <w:rsid w:val="001E7B1C"/>
    <w:rsid w:val="001E7B37"/>
    <w:rsid w:val="001E7FC9"/>
    <w:rsid w:val="001F09FF"/>
    <w:rsid w:val="001F0B24"/>
    <w:rsid w:val="001F108F"/>
    <w:rsid w:val="001F2476"/>
    <w:rsid w:val="001F276F"/>
    <w:rsid w:val="001F29E8"/>
    <w:rsid w:val="001F3AB7"/>
    <w:rsid w:val="001F3EBA"/>
    <w:rsid w:val="001F410F"/>
    <w:rsid w:val="001F41B3"/>
    <w:rsid w:val="001F41DB"/>
    <w:rsid w:val="001F441C"/>
    <w:rsid w:val="001F44F8"/>
    <w:rsid w:val="001F4858"/>
    <w:rsid w:val="001F48AA"/>
    <w:rsid w:val="001F4AA0"/>
    <w:rsid w:val="001F4B0E"/>
    <w:rsid w:val="001F4C1A"/>
    <w:rsid w:val="001F5915"/>
    <w:rsid w:val="001F5EA1"/>
    <w:rsid w:val="001F5EA4"/>
    <w:rsid w:val="001F63D6"/>
    <w:rsid w:val="001F6760"/>
    <w:rsid w:val="001F6A23"/>
    <w:rsid w:val="001F6B1F"/>
    <w:rsid w:val="001F6B3F"/>
    <w:rsid w:val="001F7021"/>
    <w:rsid w:val="001F7340"/>
    <w:rsid w:val="001F7354"/>
    <w:rsid w:val="001F7413"/>
    <w:rsid w:val="001F7478"/>
    <w:rsid w:val="001F77B6"/>
    <w:rsid w:val="001F7A39"/>
    <w:rsid w:val="002002B6"/>
    <w:rsid w:val="00200B24"/>
    <w:rsid w:val="00200C0D"/>
    <w:rsid w:val="00200CBE"/>
    <w:rsid w:val="00200E6B"/>
    <w:rsid w:val="00201250"/>
    <w:rsid w:val="002016E2"/>
    <w:rsid w:val="00201B30"/>
    <w:rsid w:val="00201BA1"/>
    <w:rsid w:val="00201DD5"/>
    <w:rsid w:val="0020240E"/>
    <w:rsid w:val="00203E47"/>
    <w:rsid w:val="0020409B"/>
    <w:rsid w:val="002042D4"/>
    <w:rsid w:val="00204530"/>
    <w:rsid w:val="00204DCE"/>
    <w:rsid w:val="00204F7A"/>
    <w:rsid w:val="0020504D"/>
    <w:rsid w:val="0020510B"/>
    <w:rsid w:val="00205373"/>
    <w:rsid w:val="002054DD"/>
    <w:rsid w:val="0020567F"/>
    <w:rsid w:val="0020573A"/>
    <w:rsid w:val="00205790"/>
    <w:rsid w:val="00205F33"/>
    <w:rsid w:val="00205F8C"/>
    <w:rsid w:val="00206104"/>
    <w:rsid w:val="00206481"/>
    <w:rsid w:val="00206500"/>
    <w:rsid w:val="002068D5"/>
    <w:rsid w:val="00206AF7"/>
    <w:rsid w:val="00206C14"/>
    <w:rsid w:val="002070A3"/>
    <w:rsid w:val="00207210"/>
    <w:rsid w:val="00207745"/>
    <w:rsid w:val="00207C74"/>
    <w:rsid w:val="00207CC0"/>
    <w:rsid w:val="00207E5E"/>
    <w:rsid w:val="00210010"/>
    <w:rsid w:val="00210378"/>
    <w:rsid w:val="0021089B"/>
    <w:rsid w:val="00210EAE"/>
    <w:rsid w:val="00211266"/>
    <w:rsid w:val="00211B36"/>
    <w:rsid w:val="00211B74"/>
    <w:rsid w:val="0021265A"/>
    <w:rsid w:val="002126BE"/>
    <w:rsid w:val="00212F9D"/>
    <w:rsid w:val="00213982"/>
    <w:rsid w:val="00213DE6"/>
    <w:rsid w:val="00214281"/>
    <w:rsid w:val="0021435E"/>
    <w:rsid w:val="0021469C"/>
    <w:rsid w:val="002147D0"/>
    <w:rsid w:val="0021486D"/>
    <w:rsid w:val="00214D98"/>
    <w:rsid w:val="002152DB"/>
    <w:rsid w:val="002153CF"/>
    <w:rsid w:val="00215488"/>
    <w:rsid w:val="0021584F"/>
    <w:rsid w:val="0021587D"/>
    <w:rsid w:val="00215A45"/>
    <w:rsid w:val="00215FA9"/>
    <w:rsid w:val="00216017"/>
    <w:rsid w:val="002161A5"/>
    <w:rsid w:val="00216304"/>
    <w:rsid w:val="00216567"/>
    <w:rsid w:val="0021657E"/>
    <w:rsid w:val="00216B28"/>
    <w:rsid w:val="00216CFC"/>
    <w:rsid w:val="00217397"/>
    <w:rsid w:val="00217533"/>
    <w:rsid w:val="00217B92"/>
    <w:rsid w:val="00217C45"/>
    <w:rsid w:val="00217E63"/>
    <w:rsid w:val="00220200"/>
    <w:rsid w:val="00220476"/>
    <w:rsid w:val="00220822"/>
    <w:rsid w:val="00220EA5"/>
    <w:rsid w:val="00221C37"/>
    <w:rsid w:val="00221DC2"/>
    <w:rsid w:val="00222E7A"/>
    <w:rsid w:val="00223021"/>
    <w:rsid w:val="0022350B"/>
    <w:rsid w:val="0022379B"/>
    <w:rsid w:val="00223B0D"/>
    <w:rsid w:val="00223BF9"/>
    <w:rsid w:val="00223D5E"/>
    <w:rsid w:val="00224B3B"/>
    <w:rsid w:val="00224BBA"/>
    <w:rsid w:val="00224C3C"/>
    <w:rsid w:val="00224D1E"/>
    <w:rsid w:val="00224D83"/>
    <w:rsid w:val="002250C0"/>
    <w:rsid w:val="00225483"/>
    <w:rsid w:val="002260EE"/>
    <w:rsid w:val="00226500"/>
    <w:rsid w:val="00226601"/>
    <w:rsid w:val="00226941"/>
    <w:rsid w:val="002269A6"/>
    <w:rsid w:val="002269C0"/>
    <w:rsid w:val="00226BB6"/>
    <w:rsid w:val="002271F5"/>
    <w:rsid w:val="002272C5"/>
    <w:rsid w:val="002300D1"/>
    <w:rsid w:val="00230BD7"/>
    <w:rsid w:val="00230D1C"/>
    <w:rsid w:val="00230E16"/>
    <w:rsid w:val="00230F12"/>
    <w:rsid w:val="00230FD1"/>
    <w:rsid w:val="002319A1"/>
    <w:rsid w:val="002322AB"/>
    <w:rsid w:val="00232734"/>
    <w:rsid w:val="002328AA"/>
    <w:rsid w:val="00232A0D"/>
    <w:rsid w:val="00232AFB"/>
    <w:rsid w:val="00233368"/>
    <w:rsid w:val="00233F6C"/>
    <w:rsid w:val="00234464"/>
    <w:rsid w:val="00234716"/>
    <w:rsid w:val="00234947"/>
    <w:rsid w:val="00234A66"/>
    <w:rsid w:val="00234B7F"/>
    <w:rsid w:val="00234C73"/>
    <w:rsid w:val="00234E41"/>
    <w:rsid w:val="00235583"/>
    <w:rsid w:val="00235633"/>
    <w:rsid w:val="002361E4"/>
    <w:rsid w:val="002363F0"/>
    <w:rsid w:val="0023675C"/>
    <w:rsid w:val="00236805"/>
    <w:rsid w:val="002370E3"/>
    <w:rsid w:val="00237A76"/>
    <w:rsid w:val="00237DC0"/>
    <w:rsid w:val="00240127"/>
    <w:rsid w:val="00240235"/>
    <w:rsid w:val="00240582"/>
    <w:rsid w:val="002405E4"/>
    <w:rsid w:val="00240A2E"/>
    <w:rsid w:val="00240EE6"/>
    <w:rsid w:val="0024101F"/>
    <w:rsid w:val="00241E05"/>
    <w:rsid w:val="00243063"/>
    <w:rsid w:val="0024310E"/>
    <w:rsid w:val="002438C0"/>
    <w:rsid w:val="002439A9"/>
    <w:rsid w:val="00243AA8"/>
    <w:rsid w:val="00243AF3"/>
    <w:rsid w:val="00243F7B"/>
    <w:rsid w:val="00244140"/>
    <w:rsid w:val="00244675"/>
    <w:rsid w:val="002449DA"/>
    <w:rsid w:val="00246294"/>
    <w:rsid w:val="002467AB"/>
    <w:rsid w:val="00247B8A"/>
    <w:rsid w:val="00247D25"/>
    <w:rsid w:val="00247F33"/>
    <w:rsid w:val="002502E8"/>
    <w:rsid w:val="0025057D"/>
    <w:rsid w:val="00250834"/>
    <w:rsid w:val="00250AD0"/>
    <w:rsid w:val="00250BAA"/>
    <w:rsid w:val="00250BAE"/>
    <w:rsid w:val="00251CFC"/>
    <w:rsid w:val="00251E4D"/>
    <w:rsid w:val="0025301D"/>
    <w:rsid w:val="00253612"/>
    <w:rsid w:val="00253A9C"/>
    <w:rsid w:val="00253BBE"/>
    <w:rsid w:val="00253C81"/>
    <w:rsid w:val="00253F3A"/>
    <w:rsid w:val="002543B5"/>
    <w:rsid w:val="002543EA"/>
    <w:rsid w:val="00254CB8"/>
    <w:rsid w:val="00255212"/>
    <w:rsid w:val="0025530B"/>
    <w:rsid w:val="0025548A"/>
    <w:rsid w:val="00255888"/>
    <w:rsid w:val="00255B76"/>
    <w:rsid w:val="00256B16"/>
    <w:rsid w:val="002573E1"/>
    <w:rsid w:val="00257864"/>
    <w:rsid w:val="00257970"/>
    <w:rsid w:val="00257A14"/>
    <w:rsid w:val="00257D52"/>
    <w:rsid w:val="002602AC"/>
    <w:rsid w:val="00260353"/>
    <w:rsid w:val="0026037C"/>
    <w:rsid w:val="002605BF"/>
    <w:rsid w:val="00260794"/>
    <w:rsid w:val="002607DB"/>
    <w:rsid w:val="00261030"/>
    <w:rsid w:val="00261B2F"/>
    <w:rsid w:val="00261C13"/>
    <w:rsid w:val="00262818"/>
    <w:rsid w:val="0026293D"/>
    <w:rsid w:val="002632B4"/>
    <w:rsid w:val="00263413"/>
    <w:rsid w:val="002641B1"/>
    <w:rsid w:val="002642F1"/>
    <w:rsid w:val="002643F3"/>
    <w:rsid w:val="002645CA"/>
    <w:rsid w:val="0026481B"/>
    <w:rsid w:val="0026486C"/>
    <w:rsid w:val="00264C80"/>
    <w:rsid w:val="00264D28"/>
    <w:rsid w:val="00264E2A"/>
    <w:rsid w:val="0026522A"/>
    <w:rsid w:val="00265B62"/>
    <w:rsid w:val="00265EE3"/>
    <w:rsid w:val="002662E2"/>
    <w:rsid w:val="002668C6"/>
    <w:rsid w:val="00266B17"/>
    <w:rsid w:val="00266B2E"/>
    <w:rsid w:val="00266BF6"/>
    <w:rsid w:val="00266D77"/>
    <w:rsid w:val="00266F2D"/>
    <w:rsid w:val="00267002"/>
    <w:rsid w:val="00267BFC"/>
    <w:rsid w:val="00270166"/>
    <w:rsid w:val="002706B7"/>
    <w:rsid w:val="00270F45"/>
    <w:rsid w:val="00271204"/>
    <w:rsid w:val="00271482"/>
    <w:rsid w:val="002714E5"/>
    <w:rsid w:val="00271839"/>
    <w:rsid w:val="00272109"/>
    <w:rsid w:val="002721BD"/>
    <w:rsid w:val="002722F7"/>
    <w:rsid w:val="00272695"/>
    <w:rsid w:val="002727DD"/>
    <w:rsid w:val="0027292A"/>
    <w:rsid w:val="00272985"/>
    <w:rsid w:val="00272F64"/>
    <w:rsid w:val="00272F7B"/>
    <w:rsid w:val="002734B3"/>
    <w:rsid w:val="002735F5"/>
    <w:rsid w:val="00273901"/>
    <w:rsid w:val="0027390A"/>
    <w:rsid w:val="00273BC7"/>
    <w:rsid w:val="00273E56"/>
    <w:rsid w:val="00273F6F"/>
    <w:rsid w:val="002744E8"/>
    <w:rsid w:val="00274687"/>
    <w:rsid w:val="00274A6D"/>
    <w:rsid w:val="00274E2E"/>
    <w:rsid w:val="002752F2"/>
    <w:rsid w:val="00275F48"/>
    <w:rsid w:val="0027695F"/>
    <w:rsid w:val="00276F08"/>
    <w:rsid w:val="00276FBA"/>
    <w:rsid w:val="00277CF2"/>
    <w:rsid w:val="00277F3D"/>
    <w:rsid w:val="00280177"/>
    <w:rsid w:val="0028060A"/>
    <w:rsid w:val="00280729"/>
    <w:rsid w:val="002808E9"/>
    <w:rsid w:val="00280CFD"/>
    <w:rsid w:val="00280EF5"/>
    <w:rsid w:val="00281699"/>
    <w:rsid w:val="00281E2E"/>
    <w:rsid w:val="002820DC"/>
    <w:rsid w:val="00282162"/>
    <w:rsid w:val="002827B0"/>
    <w:rsid w:val="00282CB0"/>
    <w:rsid w:val="00283032"/>
    <w:rsid w:val="002834B7"/>
    <w:rsid w:val="0028354C"/>
    <w:rsid w:val="00283775"/>
    <w:rsid w:val="00283843"/>
    <w:rsid w:val="002839C8"/>
    <w:rsid w:val="00283B39"/>
    <w:rsid w:val="00283B95"/>
    <w:rsid w:val="00284042"/>
    <w:rsid w:val="00284280"/>
    <w:rsid w:val="00284831"/>
    <w:rsid w:val="002853F5"/>
    <w:rsid w:val="00285D63"/>
    <w:rsid w:val="00286133"/>
    <w:rsid w:val="002865E7"/>
    <w:rsid w:val="00286E90"/>
    <w:rsid w:val="00286EDA"/>
    <w:rsid w:val="00286EFD"/>
    <w:rsid w:val="00287022"/>
    <w:rsid w:val="0028712C"/>
    <w:rsid w:val="002874B6"/>
    <w:rsid w:val="0028752D"/>
    <w:rsid w:val="00290216"/>
    <w:rsid w:val="00290283"/>
    <w:rsid w:val="00290466"/>
    <w:rsid w:val="0029073D"/>
    <w:rsid w:val="00290B33"/>
    <w:rsid w:val="00290F40"/>
    <w:rsid w:val="002916F5"/>
    <w:rsid w:val="00291A10"/>
    <w:rsid w:val="00292119"/>
    <w:rsid w:val="00292243"/>
    <w:rsid w:val="0029235E"/>
    <w:rsid w:val="002923DA"/>
    <w:rsid w:val="00292A2A"/>
    <w:rsid w:val="00292E31"/>
    <w:rsid w:val="00292F33"/>
    <w:rsid w:val="0029313E"/>
    <w:rsid w:val="00293301"/>
    <w:rsid w:val="00293610"/>
    <w:rsid w:val="002936EC"/>
    <w:rsid w:val="00293E67"/>
    <w:rsid w:val="00293EE0"/>
    <w:rsid w:val="00293FAC"/>
    <w:rsid w:val="00294598"/>
    <w:rsid w:val="002949B4"/>
    <w:rsid w:val="00294C4A"/>
    <w:rsid w:val="002951CF"/>
    <w:rsid w:val="0029539B"/>
    <w:rsid w:val="002954AC"/>
    <w:rsid w:val="00295533"/>
    <w:rsid w:val="00295BEA"/>
    <w:rsid w:val="00295CAE"/>
    <w:rsid w:val="00295D70"/>
    <w:rsid w:val="002964CE"/>
    <w:rsid w:val="002965BE"/>
    <w:rsid w:val="002966E8"/>
    <w:rsid w:val="00296B12"/>
    <w:rsid w:val="00297248"/>
    <w:rsid w:val="002974DF"/>
    <w:rsid w:val="002976BD"/>
    <w:rsid w:val="00297FE8"/>
    <w:rsid w:val="002A0016"/>
    <w:rsid w:val="002A01B5"/>
    <w:rsid w:val="002A0575"/>
    <w:rsid w:val="002A16F4"/>
    <w:rsid w:val="002A1CCF"/>
    <w:rsid w:val="002A1F90"/>
    <w:rsid w:val="002A206A"/>
    <w:rsid w:val="002A2278"/>
    <w:rsid w:val="002A2333"/>
    <w:rsid w:val="002A23CC"/>
    <w:rsid w:val="002A339B"/>
    <w:rsid w:val="002A33B5"/>
    <w:rsid w:val="002A3465"/>
    <w:rsid w:val="002A3558"/>
    <w:rsid w:val="002A39A1"/>
    <w:rsid w:val="002A3A07"/>
    <w:rsid w:val="002A3AB0"/>
    <w:rsid w:val="002A4839"/>
    <w:rsid w:val="002A4D36"/>
    <w:rsid w:val="002A4E37"/>
    <w:rsid w:val="002A4FBD"/>
    <w:rsid w:val="002A50AB"/>
    <w:rsid w:val="002A52D7"/>
    <w:rsid w:val="002A53B2"/>
    <w:rsid w:val="002A5717"/>
    <w:rsid w:val="002A594D"/>
    <w:rsid w:val="002A5E38"/>
    <w:rsid w:val="002A5EE3"/>
    <w:rsid w:val="002A67B2"/>
    <w:rsid w:val="002A704F"/>
    <w:rsid w:val="002A73BC"/>
    <w:rsid w:val="002A7583"/>
    <w:rsid w:val="002A7F04"/>
    <w:rsid w:val="002B0297"/>
    <w:rsid w:val="002B02B1"/>
    <w:rsid w:val="002B043D"/>
    <w:rsid w:val="002B051B"/>
    <w:rsid w:val="002B0961"/>
    <w:rsid w:val="002B1A16"/>
    <w:rsid w:val="002B1BC1"/>
    <w:rsid w:val="002B20D0"/>
    <w:rsid w:val="002B215B"/>
    <w:rsid w:val="002B2AE3"/>
    <w:rsid w:val="002B2E43"/>
    <w:rsid w:val="002B3077"/>
    <w:rsid w:val="002B3518"/>
    <w:rsid w:val="002B39C6"/>
    <w:rsid w:val="002B3C01"/>
    <w:rsid w:val="002B3CED"/>
    <w:rsid w:val="002B3FBA"/>
    <w:rsid w:val="002B46F0"/>
    <w:rsid w:val="002B4708"/>
    <w:rsid w:val="002B4C51"/>
    <w:rsid w:val="002B4C71"/>
    <w:rsid w:val="002B4DCD"/>
    <w:rsid w:val="002B584F"/>
    <w:rsid w:val="002B5DA6"/>
    <w:rsid w:val="002B60E3"/>
    <w:rsid w:val="002B70EC"/>
    <w:rsid w:val="002B754F"/>
    <w:rsid w:val="002B79E7"/>
    <w:rsid w:val="002B7B8F"/>
    <w:rsid w:val="002B7D29"/>
    <w:rsid w:val="002C0363"/>
    <w:rsid w:val="002C04EF"/>
    <w:rsid w:val="002C0BED"/>
    <w:rsid w:val="002C1954"/>
    <w:rsid w:val="002C2009"/>
    <w:rsid w:val="002C22D6"/>
    <w:rsid w:val="002C263B"/>
    <w:rsid w:val="002C2970"/>
    <w:rsid w:val="002C29BD"/>
    <w:rsid w:val="002C2BD7"/>
    <w:rsid w:val="002C3126"/>
    <w:rsid w:val="002C3A73"/>
    <w:rsid w:val="002C3BDF"/>
    <w:rsid w:val="002C495F"/>
    <w:rsid w:val="002C54EE"/>
    <w:rsid w:val="002C564E"/>
    <w:rsid w:val="002C59D1"/>
    <w:rsid w:val="002C5A21"/>
    <w:rsid w:val="002C5FC1"/>
    <w:rsid w:val="002C64DF"/>
    <w:rsid w:val="002C67A1"/>
    <w:rsid w:val="002C6E12"/>
    <w:rsid w:val="002C72F5"/>
    <w:rsid w:val="002C7424"/>
    <w:rsid w:val="002C7F85"/>
    <w:rsid w:val="002CBC5A"/>
    <w:rsid w:val="002D0915"/>
    <w:rsid w:val="002D0947"/>
    <w:rsid w:val="002D0989"/>
    <w:rsid w:val="002D0B79"/>
    <w:rsid w:val="002D0CDF"/>
    <w:rsid w:val="002D0DD2"/>
    <w:rsid w:val="002D0E32"/>
    <w:rsid w:val="002D0F72"/>
    <w:rsid w:val="002D0FBB"/>
    <w:rsid w:val="002D23AA"/>
    <w:rsid w:val="002D24BB"/>
    <w:rsid w:val="002D29AE"/>
    <w:rsid w:val="002D3E1B"/>
    <w:rsid w:val="002D42E3"/>
    <w:rsid w:val="002D44BD"/>
    <w:rsid w:val="002D4BB6"/>
    <w:rsid w:val="002D4BBD"/>
    <w:rsid w:val="002D4BF8"/>
    <w:rsid w:val="002D4BFD"/>
    <w:rsid w:val="002D4E6E"/>
    <w:rsid w:val="002D4F78"/>
    <w:rsid w:val="002D4FAC"/>
    <w:rsid w:val="002D53CA"/>
    <w:rsid w:val="002D58DC"/>
    <w:rsid w:val="002D5A31"/>
    <w:rsid w:val="002D5DA2"/>
    <w:rsid w:val="002D62B2"/>
    <w:rsid w:val="002D6777"/>
    <w:rsid w:val="002D6B1E"/>
    <w:rsid w:val="002D6B57"/>
    <w:rsid w:val="002D6DD1"/>
    <w:rsid w:val="002D7242"/>
    <w:rsid w:val="002D72D2"/>
    <w:rsid w:val="002D7323"/>
    <w:rsid w:val="002D7AF0"/>
    <w:rsid w:val="002D7B41"/>
    <w:rsid w:val="002E0182"/>
    <w:rsid w:val="002E027E"/>
    <w:rsid w:val="002E05DC"/>
    <w:rsid w:val="002E0690"/>
    <w:rsid w:val="002E09DE"/>
    <w:rsid w:val="002E1E3F"/>
    <w:rsid w:val="002E22FF"/>
    <w:rsid w:val="002E2775"/>
    <w:rsid w:val="002E2D43"/>
    <w:rsid w:val="002E32D5"/>
    <w:rsid w:val="002E3E61"/>
    <w:rsid w:val="002E4020"/>
    <w:rsid w:val="002E41C2"/>
    <w:rsid w:val="002E45C5"/>
    <w:rsid w:val="002E4784"/>
    <w:rsid w:val="002E480F"/>
    <w:rsid w:val="002E48B9"/>
    <w:rsid w:val="002E4ADA"/>
    <w:rsid w:val="002E4E0D"/>
    <w:rsid w:val="002E4E42"/>
    <w:rsid w:val="002E589E"/>
    <w:rsid w:val="002E5B49"/>
    <w:rsid w:val="002E6164"/>
    <w:rsid w:val="002E619E"/>
    <w:rsid w:val="002E6D97"/>
    <w:rsid w:val="002E7AB1"/>
    <w:rsid w:val="002E7D2C"/>
    <w:rsid w:val="002ED1FC"/>
    <w:rsid w:val="002F0132"/>
    <w:rsid w:val="002F0935"/>
    <w:rsid w:val="002F0EDE"/>
    <w:rsid w:val="002F112A"/>
    <w:rsid w:val="002F121E"/>
    <w:rsid w:val="002F1491"/>
    <w:rsid w:val="002F1F87"/>
    <w:rsid w:val="002F2600"/>
    <w:rsid w:val="002F2B21"/>
    <w:rsid w:val="002F2B49"/>
    <w:rsid w:val="002F3759"/>
    <w:rsid w:val="002F3927"/>
    <w:rsid w:val="002F39C8"/>
    <w:rsid w:val="002F3A0D"/>
    <w:rsid w:val="002F40BB"/>
    <w:rsid w:val="002F4531"/>
    <w:rsid w:val="002F454D"/>
    <w:rsid w:val="002F461B"/>
    <w:rsid w:val="002F4821"/>
    <w:rsid w:val="002F48DC"/>
    <w:rsid w:val="002F49E7"/>
    <w:rsid w:val="002F4A8A"/>
    <w:rsid w:val="002F4C78"/>
    <w:rsid w:val="002F4C7C"/>
    <w:rsid w:val="002F51E6"/>
    <w:rsid w:val="002F51FF"/>
    <w:rsid w:val="002F54BA"/>
    <w:rsid w:val="002F5D5D"/>
    <w:rsid w:val="002F6931"/>
    <w:rsid w:val="002F6B24"/>
    <w:rsid w:val="002F746B"/>
    <w:rsid w:val="002F79A9"/>
    <w:rsid w:val="002F7DAC"/>
    <w:rsid w:val="002F7EDB"/>
    <w:rsid w:val="002F7EF7"/>
    <w:rsid w:val="002F7FA0"/>
    <w:rsid w:val="00300449"/>
    <w:rsid w:val="003004BC"/>
    <w:rsid w:val="0030086A"/>
    <w:rsid w:val="00300D0D"/>
    <w:rsid w:val="00301410"/>
    <w:rsid w:val="00301B9F"/>
    <w:rsid w:val="00301DF1"/>
    <w:rsid w:val="00301F26"/>
    <w:rsid w:val="00302321"/>
    <w:rsid w:val="0030244D"/>
    <w:rsid w:val="003024B1"/>
    <w:rsid w:val="00302A0C"/>
    <w:rsid w:val="00303647"/>
    <w:rsid w:val="00304033"/>
    <w:rsid w:val="00304803"/>
    <w:rsid w:val="00304971"/>
    <w:rsid w:val="00304D6A"/>
    <w:rsid w:val="0030548A"/>
    <w:rsid w:val="003054C8"/>
    <w:rsid w:val="00305688"/>
    <w:rsid w:val="00305BC7"/>
    <w:rsid w:val="0030640E"/>
    <w:rsid w:val="00306E9C"/>
    <w:rsid w:val="0030716B"/>
    <w:rsid w:val="003072C4"/>
    <w:rsid w:val="003075ED"/>
    <w:rsid w:val="0030763E"/>
    <w:rsid w:val="003076D5"/>
    <w:rsid w:val="0030777B"/>
    <w:rsid w:val="003079AA"/>
    <w:rsid w:val="00307CDB"/>
    <w:rsid w:val="00307FBA"/>
    <w:rsid w:val="00310BA6"/>
    <w:rsid w:val="00310D57"/>
    <w:rsid w:val="00310FE5"/>
    <w:rsid w:val="003110E8"/>
    <w:rsid w:val="003112F8"/>
    <w:rsid w:val="00311B26"/>
    <w:rsid w:val="00311DA5"/>
    <w:rsid w:val="00311FB1"/>
    <w:rsid w:val="00312690"/>
    <w:rsid w:val="00312CEA"/>
    <w:rsid w:val="00313181"/>
    <w:rsid w:val="003131CE"/>
    <w:rsid w:val="003133CE"/>
    <w:rsid w:val="00313409"/>
    <w:rsid w:val="003134A9"/>
    <w:rsid w:val="003141CF"/>
    <w:rsid w:val="0031421E"/>
    <w:rsid w:val="00314473"/>
    <w:rsid w:val="00314922"/>
    <w:rsid w:val="003151D8"/>
    <w:rsid w:val="003155D7"/>
    <w:rsid w:val="00315763"/>
    <w:rsid w:val="00315919"/>
    <w:rsid w:val="00315AB9"/>
    <w:rsid w:val="00315B03"/>
    <w:rsid w:val="00315C62"/>
    <w:rsid w:val="00316B4A"/>
    <w:rsid w:val="00316D73"/>
    <w:rsid w:val="00316F1B"/>
    <w:rsid w:val="00317D39"/>
    <w:rsid w:val="00317E7D"/>
    <w:rsid w:val="003200AE"/>
    <w:rsid w:val="003202C4"/>
    <w:rsid w:val="00320592"/>
    <w:rsid w:val="00320E78"/>
    <w:rsid w:val="00320EAC"/>
    <w:rsid w:val="00320F34"/>
    <w:rsid w:val="0032117A"/>
    <w:rsid w:val="00321323"/>
    <w:rsid w:val="00321ABB"/>
    <w:rsid w:val="0032221D"/>
    <w:rsid w:val="0032225E"/>
    <w:rsid w:val="003232EE"/>
    <w:rsid w:val="0032353B"/>
    <w:rsid w:val="00323AED"/>
    <w:rsid w:val="00323F3C"/>
    <w:rsid w:val="00323F7D"/>
    <w:rsid w:val="00323FC0"/>
    <w:rsid w:val="003242E0"/>
    <w:rsid w:val="003249CC"/>
    <w:rsid w:val="00324E0B"/>
    <w:rsid w:val="00324E58"/>
    <w:rsid w:val="00325281"/>
    <w:rsid w:val="003252A4"/>
    <w:rsid w:val="00325384"/>
    <w:rsid w:val="003255D4"/>
    <w:rsid w:val="00325B43"/>
    <w:rsid w:val="00325F27"/>
    <w:rsid w:val="00325FC7"/>
    <w:rsid w:val="0032637C"/>
    <w:rsid w:val="0032667C"/>
    <w:rsid w:val="00326B85"/>
    <w:rsid w:val="00327364"/>
    <w:rsid w:val="00330808"/>
    <w:rsid w:val="00330F4B"/>
    <w:rsid w:val="003311E5"/>
    <w:rsid w:val="003319FB"/>
    <w:rsid w:val="00331A0A"/>
    <w:rsid w:val="00331FE0"/>
    <w:rsid w:val="00332A50"/>
    <w:rsid w:val="003339EB"/>
    <w:rsid w:val="00333B4F"/>
    <w:rsid w:val="00333CF6"/>
    <w:rsid w:val="00334389"/>
    <w:rsid w:val="0033447B"/>
    <w:rsid w:val="00334954"/>
    <w:rsid w:val="00334C03"/>
    <w:rsid w:val="00334CD1"/>
    <w:rsid w:val="00334FF5"/>
    <w:rsid w:val="00335668"/>
    <w:rsid w:val="003358E7"/>
    <w:rsid w:val="0033604D"/>
    <w:rsid w:val="00337CB6"/>
    <w:rsid w:val="00337E06"/>
    <w:rsid w:val="00337E6C"/>
    <w:rsid w:val="0034043D"/>
    <w:rsid w:val="00341053"/>
    <w:rsid w:val="00341C90"/>
    <w:rsid w:val="00342BB6"/>
    <w:rsid w:val="003434C0"/>
    <w:rsid w:val="0034359D"/>
    <w:rsid w:val="00343607"/>
    <w:rsid w:val="00343703"/>
    <w:rsid w:val="00344048"/>
    <w:rsid w:val="003445DA"/>
    <w:rsid w:val="00344630"/>
    <w:rsid w:val="003448C7"/>
    <w:rsid w:val="00344909"/>
    <w:rsid w:val="00344B53"/>
    <w:rsid w:val="00344CE0"/>
    <w:rsid w:val="00345085"/>
    <w:rsid w:val="00345323"/>
    <w:rsid w:val="00345BDA"/>
    <w:rsid w:val="00345BE7"/>
    <w:rsid w:val="003461A6"/>
    <w:rsid w:val="003469E3"/>
    <w:rsid w:val="00346ADA"/>
    <w:rsid w:val="00346ED4"/>
    <w:rsid w:val="00346FAC"/>
    <w:rsid w:val="003476D7"/>
    <w:rsid w:val="003477FC"/>
    <w:rsid w:val="00347B11"/>
    <w:rsid w:val="00347C87"/>
    <w:rsid w:val="00347FC0"/>
    <w:rsid w:val="0035047F"/>
    <w:rsid w:val="003514FE"/>
    <w:rsid w:val="003515FF"/>
    <w:rsid w:val="00351DAA"/>
    <w:rsid w:val="00351DDD"/>
    <w:rsid w:val="00352662"/>
    <w:rsid w:val="003528CF"/>
    <w:rsid w:val="003530B5"/>
    <w:rsid w:val="0035310D"/>
    <w:rsid w:val="003533C8"/>
    <w:rsid w:val="00353D3B"/>
    <w:rsid w:val="00353F15"/>
    <w:rsid w:val="003548D2"/>
    <w:rsid w:val="003551B8"/>
    <w:rsid w:val="003551FB"/>
    <w:rsid w:val="00355497"/>
    <w:rsid w:val="00355FBE"/>
    <w:rsid w:val="003564DB"/>
    <w:rsid w:val="00356669"/>
    <w:rsid w:val="003567B2"/>
    <w:rsid w:val="00356828"/>
    <w:rsid w:val="003568E4"/>
    <w:rsid w:val="00356923"/>
    <w:rsid w:val="00356A54"/>
    <w:rsid w:val="003577D8"/>
    <w:rsid w:val="00357935"/>
    <w:rsid w:val="00357A41"/>
    <w:rsid w:val="00357D64"/>
    <w:rsid w:val="00357DA1"/>
    <w:rsid w:val="00357EE3"/>
    <w:rsid w:val="00360210"/>
    <w:rsid w:val="003604A4"/>
    <w:rsid w:val="0036052D"/>
    <w:rsid w:val="003605F2"/>
    <w:rsid w:val="0036096C"/>
    <w:rsid w:val="00360C4D"/>
    <w:rsid w:val="00360D61"/>
    <w:rsid w:val="00361150"/>
    <w:rsid w:val="00361371"/>
    <w:rsid w:val="003619AD"/>
    <w:rsid w:val="00361B73"/>
    <w:rsid w:val="00361FFA"/>
    <w:rsid w:val="003623D4"/>
    <w:rsid w:val="003624A8"/>
    <w:rsid w:val="00362A0C"/>
    <w:rsid w:val="00362C94"/>
    <w:rsid w:val="00362DD3"/>
    <w:rsid w:val="0036309C"/>
    <w:rsid w:val="003630C5"/>
    <w:rsid w:val="0036338B"/>
    <w:rsid w:val="003634FF"/>
    <w:rsid w:val="0036355A"/>
    <w:rsid w:val="00363881"/>
    <w:rsid w:val="00363B05"/>
    <w:rsid w:val="00363DC2"/>
    <w:rsid w:val="00363E73"/>
    <w:rsid w:val="003641DF"/>
    <w:rsid w:val="0036491F"/>
    <w:rsid w:val="00364C9B"/>
    <w:rsid w:val="00365049"/>
    <w:rsid w:val="00365157"/>
    <w:rsid w:val="00366866"/>
    <w:rsid w:val="0036745C"/>
    <w:rsid w:val="00367735"/>
    <w:rsid w:val="00370283"/>
    <w:rsid w:val="00370916"/>
    <w:rsid w:val="00371702"/>
    <w:rsid w:val="0037192A"/>
    <w:rsid w:val="00371A70"/>
    <w:rsid w:val="00371C43"/>
    <w:rsid w:val="00371CDE"/>
    <w:rsid w:val="00371F2D"/>
    <w:rsid w:val="003721A0"/>
    <w:rsid w:val="003722EA"/>
    <w:rsid w:val="003728D7"/>
    <w:rsid w:val="00372BB5"/>
    <w:rsid w:val="00372BC1"/>
    <w:rsid w:val="00372EED"/>
    <w:rsid w:val="0037329D"/>
    <w:rsid w:val="003732EB"/>
    <w:rsid w:val="0037396F"/>
    <w:rsid w:val="00373D95"/>
    <w:rsid w:val="003743D0"/>
    <w:rsid w:val="00374406"/>
    <w:rsid w:val="00374418"/>
    <w:rsid w:val="00374838"/>
    <w:rsid w:val="00374E68"/>
    <w:rsid w:val="0037577B"/>
    <w:rsid w:val="003757FD"/>
    <w:rsid w:val="003758A5"/>
    <w:rsid w:val="003758E1"/>
    <w:rsid w:val="003758E8"/>
    <w:rsid w:val="00375A22"/>
    <w:rsid w:val="00375A26"/>
    <w:rsid w:val="00375C65"/>
    <w:rsid w:val="00375CB9"/>
    <w:rsid w:val="00375DDD"/>
    <w:rsid w:val="003760F7"/>
    <w:rsid w:val="00376562"/>
    <w:rsid w:val="00376586"/>
    <w:rsid w:val="00376690"/>
    <w:rsid w:val="003767D5"/>
    <w:rsid w:val="003768F5"/>
    <w:rsid w:val="00376A95"/>
    <w:rsid w:val="00376AE9"/>
    <w:rsid w:val="00376F9A"/>
    <w:rsid w:val="00377DD1"/>
    <w:rsid w:val="003802A2"/>
    <w:rsid w:val="00380926"/>
    <w:rsid w:val="00381031"/>
    <w:rsid w:val="00381744"/>
    <w:rsid w:val="00381FDD"/>
    <w:rsid w:val="00382624"/>
    <w:rsid w:val="00383498"/>
    <w:rsid w:val="00383635"/>
    <w:rsid w:val="00383774"/>
    <w:rsid w:val="003838A5"/>
    <w:rsid w:val="00383F3E"/>
    <w:rsid w:val="00383F6D"/>
    <w:rsid w:val="0038406B"/>
    <w:rsid w:val="003842A9"/>
    <w:rsid w:val="0038475C"/>
    <w:rsid w:val="0038498E"/>
    <w:rsid w:val="00384B2B"/>
    <w:rsid w:val="00384BA9"/>
    <w:rsid w:val="003853B2"/>
    <w:rsid w:val="00385682"/>
    <w:rsid w:val="00385C10"/>
    <w:rsid w:val="00386381"/>
    <w:rsid w:val="00386A8F"/>
    <w:rsid w:val="00386CFE"/>
    <w:rsid w:val="003872EF"/>
    <w:rsid w:val="003874DE"/>
    <w:rsid w:val="00387CB4"/>
    <w:rsid w:val="00387F62"/>
    <w:rsid w:val="00390182"/>
    <w:rsid w:val="0039018E"/>
    <w:rsid w:val="0039063E"/>
    <w:rsid w:val="00390D55"/>
    <w:rsid w:val="0039107D"/>
    <w:rsid w:val="003915E3"/>
    <w:rsid w:val="003917FB"/>
    <w:rsid w:val="00391B4E"/>
    <w:rsid w:val="00391B59"/>
    <w:rsid w:val="003920C8"/>
    <w:rsid w:val="00392191"/>
    <w:rsid w:val="0039219C"/>
    <w:rsid w:val="00392391"/>
    <w:rsid w:val="003924B0"/>
    <w:rsid w:val="003925DC"/>
    <w:rsid w:val="00392936"/>
    <w:rsid w:val="00392E6D"/>
    <w:rsid w:val="00393160"/>
    <w:rsid w:val="0039325B"/>
    <w:rsid w:val="003933DF"/>
    <w:rsid w:val="00393415"/>
    <w:rsid w:val="003941BF"/>
    <w:rsid w:val="0039430F"/>
    <w:rsid w:val="00394346"/>
    <w:rsid w:val="003944CF"/>
    <w:rsid w:val="00394715"/>
    <w:rsid w:val="00394CFD"/>
    <w:rsid w:val="0039519B"/>
    <w:rsid w:val="003951E7"/>
    <w:rsid w:val="003955FD"/>
    <w:rsid w:val="00395786"/>
    <w:rsid w:val="0039588F"/>
    <w:rsid w:val="00395A18"/>
    <w:rsid w:val="00395D50"/>
    <w:rsid w:val="00395E8E"/>
    <w:rsid w:val="00396BED"/>
    <w:rsid w:val="00396BFA"/>
    <w:rsid w:val="003978BB"/>
    <w:rsid w:val="00397977"/>
    <w:rsid w:val="00397C0A"/>
    <w:rsid w:val="00397F55"/>
    <w:rsid w:val="003A09F2"/>
    <w:rsid w:val="003A0EB9"/>
    <w:rsid w:val="003A1705"/>
    <w:rsid w:val="003A18D1"/>
    <w:rsid w:val="003A1B5F"/>
    <w:rsid w:val="003A1DE5"/>
    <w:rsid w:val="003A2432"/>
    <w:rsid w:val="003A2979"/>
    <w:rsid w:val="003A2C0B"/>
    <w:rsid w:val="003A2C7E"/>
    <w:rsid w:val="003A2F7F"/>
    <w:rsid w:val="003A31F1"/>
    <w:rsid w:val="003A3609"/>
    <w:rsid w:val="003A42E3"/>
    <w:rsid w:val="003A439D"/>
    <w:rsid w:val="003A4B80"/>
    <w:rsid w:val="003A4C1C"/>
    <w:rsid w:val="003A5A3A"/>
    <w:rsid w:val="003A5CE1"/>
    <w:rsid w:val="003A610E"/>
    <w:rsid w:val="003A6253"/>
    <w:rsid w:val="003A7598"/>
    <w:rsid w:val="003A77BF"/>
    <w:rsid w:val="003A7F65"/>
    <w:rsid w:val="003B07CE"/>
    <w:rsid w:val="003B10FE"/>
    <w:rsid w:val="003B154A"/>
    <w:rsid w:val="003B1FBA"/>
    <w:rsid w:val="003B22B5"/>
    <w:rsid w:val="003B2590"/>
    <w:rsid w:val="003B2C94"/>
    <w:rsid w:val="003B3000"/>
    <w:rsid w:val="003B309B"/>
    <w:rsid w:val="003B3650"/>
    <w:rsid w:val="003B3721"/>
    <w:rsid w:val="003B37A3"/>
    <w:rsid w:val="003B384B"/>
    <w:rsid w:val="003B3A68"/>
    <w:rsid w:val="003B404A"/>
    <w:rsid w:val="003B4530"/>
    <w:rsid w:val="003B48A4"/>
    <w:rsid w:val="003B499D"/>
    <w:rsid w:val="003B49C6"/>
    <w:rsid w:val="003B4A08"/>
    <w:rsid w:val="003B4E05"/>
    <w:rsid w:val="003B5D81"/>
    <w:rsid w:val="003B5E68"/>
    <w:rsid w:val="003B607D"/>
    <w:rsid w:val="003B6133"/>
    <w:rsid w:val="003B6DB8"/>
    <w:rsid w:val="003B75BA"/>
    <w:rsid w:val="003B762B"/>
    <w:rsid w:val="003B76BD"/>
    <w:rsid w:val="003B7729"/>
    <w:rsid w:val="003B7B67"/>
    <w:rsid w:val="003C08CA"/>
    <w:rsid w:val="003C0BB5"/>
    <w:rsid w:val="003C0C23"/>
    <w:rsid w:val="003C1126"/>
    <w:rsid w:val="003C16A5"/>
    <w:rsid w:val="003C16AD"/>
    <w:rsid w:val="003C17EA"/>
    <w:rsid w:val="003C17FC"/>
    <w:rsid w:val="003C19F2"/>
    <w:rsid w:val="003C1A9C"/>
    <w:rsid w:val="003C1ABB"/>
    <w:rsid w:val="003C1B07"/>
    <w:rsid w:val="003C1C4F"/>
    <w:rsid w:val="003C1E28"/>
    <w:rsid w:val="003C1E80"/>
    <w:rsid w:val="003C2060"/>
    <w:rsid w:val="003C2DDF"/>
    <w:rsid w:val="003C313F"/>
    <w:rsid w:val="003C321F"/>
    <w:rsid w:val="003C3327"/>
    <w:rsid w:val="003C3382"/>
    <w:rsid w:val="003C3817"/>
    <w:rsid w:val="003C3AD0"/>
    <w:rsid w:val="003C3BAE"/>
    <w:rsid w:val="003C4368"/>
    <w:rsid w:val="003C47D0"/>
    <w:rsid w:val="003C59D9"/>
    <w:rsid w:val="003C5DE2"/>
    <w:rsid w:val="003C6213"/>
    <w:rsid w:val="003C6A33"/>
    <w:rsid w:val="003C6B18"/>
    <w:rsid w:val="003C6BAA"/>
    <w:rsid w:val="003C7E0C"/>
    <w:rsid w:val="003D00D8"/>
    <w:rsid w:val="003D026E"/>
    <w:rsid w:val="003D03C1"/>
    <w:rsid w:val="003D07D4"/>
    <w:rsid w:val="003D10DB"/>
    <w:rsid w:val="003D12D3"/>
    <w:rsid w:val="003D1331"/>
    <w:rsid w:val="003D1864"/>
    <w:rsid w:val="003D1D44"/>
    <w:rsid w:val="003D219C"/>
    <w:rsid w:val="003D24A6"/>
    <w:rsid w:val="003D2774"/>
    <w:rsid w:val="003D28A4"/>
    <w:rsid w:val="003D2B19"/>
    <w:rsid w:val="003D323E"/>
    <w:rsid w:val="003D3757"/>
    <w:rsid w:val="003D3A27"/>
    <w:rsid w:val="003D3AB6"/>
    <w:rsid w:val="003D3B9A"/>
    <w:rsid w:val="003D4091"/>
    <w:rsid w:val="003D471B"/>
    <w:rsid w:val="003D491B"/>
    <w:rsid w:val="003D4C6F"/>
    <w:rsid w:val="003D500E"/>
    <w:rsid w:val="003D5377"/>
    <w:rsid w:val="003D57A3"/>
    <w:rsid w:val="003D5998"/>
    <w:rsid w:val="003D5A7E"/>
    <w:rsid w:val="003D6805"/>
    <w:rsid w:val="003D6EB6"/>
    <w:rsid w:val="003D741C"/>
    <w:rsid w:val="003D7491"/>
    <w:rsid w:val="003D7586"/>
    <w:rsid w:val="003D7F4B"/>
    <w:rsid w:val="003E0518"/>
    <w:rsid w:val="003E0F7F"/>
    <w:rsid w:val="003E1171"/>
    <w:rsid w:val="003E11ED"/>
    <w:rsid w:val="003E16B2"/>
    <w:rsid w:val="003E1B93"/>
    <w:rsid w:val="003E1F3C"/>
    <w:rsid w:val="003E2812"/>
    <w:rsid w:val="003E2928"/>
    <w:rsid w:val="003E2B91"/>
    <w:rsid w:val="003E3983"/>
    <w:rsid w:val="003E3F74"/>
    <w:rsid w:val="003E438D"/>
    <w:rsid w:val="003E44FD"/>
    <w:rsid w:val="003E493A"/>
    <w:rsid w:val="003E4963"/>
    <w:rsid w:val="003E498A"/>
    <w:rsid w:val="003E4A3B"/>
    <w:rsid w:val="003E4B43"/>
    <w:rsid w:val="003E4E7F"/>
    <w:rsid w:val="003E4ED6"/>
    <w:rsid w:val="003E50FF"/>
    <w:rsid w:val="003E51EF"/>
    <w:rsid w:val="003E5735"/>
    <w:rsid w:val="003E5E1B"/>
    <w:rsid w:val="003E6030"/>
    <w:rsid w:val="003E6711"/>
    <w:rsid w:val="003E6D00"/>
    <w:rsid w:val="003E74BE"/>
    <w:rsid w:val="003E7EF9"/>
    <w:rsid w:val="003F0184"/>
    <w:rsid w:val="003F0408"/>
    <w:rsid w:val="003F0CB3"/>
    <w:rsid w:val="003F0F15"/>
    <w:rsid w:val="003F1214"/>
    <w:rsid w:val="003F1328"/>
    <w:rsid w:val="003F1344"/>
    <w:rsid w:val="003F16B6"/>
    <w:rsid w:val="003F171A"/>
    <w:rsid w:val="003F191E"/>
    <w:rsid w:val="003F1F6D"/>
    <w:rsid w:val="003F2431"/>
    <w:rsid w:val="003F24F8"/>
    <w:rsid w:val="003F2686"/>
    <w:rsid w:val="003F2FE2"/>
    <w:rsid w:val="003F34B2"/>
    <w:rsid w:val="003F358B"/>
    <w:rsid w:val="003F35E5"/>
    <w:rsid w:val="003F3766"/>
    <w:rsid w:val="003F43FF"/>
    <w:rsid w:val="003F4679"/>
    <w:rsid w:val="003F4870"/>
    <w:rsid w:val="003F4925"/>
    <w:rsid w:val="003F536D"/>
    <w:rsid w:val="003F5883"/>
    <w:rsid w:val="003F596D"/>
    <w:rsid w:val="003F60A3"/>
    <w:rsid w:val="003F63F5"/>
    <w:rsid w:val="003F64EE"/>
    <w:rsid w:val="003F6686"/>
    <w:rsid w:val="003F69CF"/>
    <w:rsid w:val="003F6E52"/>
    <w:rsid w:val="003F7F8A"/>
    <w:rsid w:val="0040028B"/>
    <w:rsid w:val="00400616"/>
    <w:rsid w:val="00400649"/>
    <w:rsid w:val="00400A1A"/>
    <w:rsid w:val="00400D8C"/>
    <w:rsid w:val="00400FCE"/>
    <w:rsid w:val="004016D9"/>
    <w:rsid w:val="004017D7"/>
    <w:rsid w:val="004018E4"/>
    <w:rsid w:val="0040199F"/>
    <w:rsid w:val="00401E17"/>
    <w:rsid w:val="004024BB"/>
    <w:rsid w:val="004028BE"/>
    <w:rsid w:val="00402AD5"/>
    <w:rsid w:val="00402B0F"/>
    <w:rsid w:val="00403122"/>
    <w:rsid w:val="00403156"/>
    <w:rsid w:val="004032B5"/>
    <w:rsid w:val="00403455"/>
    <w:rsid w:val="0040409C"/>
    <w:rsid w:val="004043D6"/>
    <w:rsid w:val="004048D8"/>
    <w:rsid w:val="00404D5E"/>
    <w:rsid w:val="00404E53"/>
    <w:rsid w:val="004059D1"/>
    <w:rsid w:val="004060B3"/>
    <w:rsid w:val="0040625F"/>
    <w:rsid w:val="004064C3"/>
    <w:rsid w:val="004064F0"/>
    <w:rsid w:val="00406569"/>
    <w:rsid w:val="00406EA5"/>
    <w:rsid w:val="00407370"/>
    <w:rsid w:val="00407E3E"/>
    <w:rsid w:val="00407EFE"/>
    <w:rsid w:val="004104D4"/>
    <w:rsid w:val="00410C8B"/>
    <w:rsid w:val="00410CD4"/>
    <w:rsid w:val="00411377"/>
    <w:rsid w:val="00411631"/>
    <w:rsid w:val="00411BB9"/>
    <w:rsid w:val="00411C30"/>
    <w:rsid w:val="00411EA5"/>
    <w:rsid w:val="004124AA"/>
    <w:rsid w:val="00412854"/>
    <w:rsid w:val="004129A2"/>
    <w:rsid w:val="00412F33"/>
    <w:rsid w:val="004138D2"/>
    <w:rsid w:val="00413B6A"/>
    <w:rsid w:val="00413B96"/>
    <w:rsid w:val="00413D9A"/>
    <w:rsid w:val="00414012"/>
    <w:rsid w:val="00414434"/>
    <w:rsid w:val="00414C20"/>
    <w:rsid w:val="00415430"/>
    <w:rsid w:val="0041565E"/>
    <w:rsid w:val="00415903"/>
    <w:rsid w:val="0041605D"/>
    <w:rsid w:val="00416C33"/>
    <w:rsid w:val="00417214"/>
    <w:rsid w:val="00417558"/>
    <w:rsid w:val="00417804"/>
    <w:rsid w:val="0041783F"/>
    <w:rsid w:val="004178F0"/>
    <w:rsid w:val="00417D6C"/>
    <w:rsid w:val="00417E55"/>
    <w:rsid w:val="004201D0"/>
    <w:rsid w:val="00420F69"/>
    <w:rsid w:val="00421149"/>
    <w:rsid w:val="004211F5"/>
    <w:rsid w:val="00421249"/>
    <w:rsid w:val="00421429"/>
    <w:rsid w:val="00421ADA"/>
    <w:rsid w:val="00421CC3"/>
    <w:rsid w:val="00421E99"/>
    <w:rsid w:val="004233E7"/>
    <w:rsid w:val="00423F55"/>
    <w:rsid w:val="004240A7"/>
    <w:rsid w:val="00424401"/>
    <w:rsid w:val="00424782"/>
    <w:rsid w:val="00424B34"/>
    <w:rsid w:val="004255E3"/>
    <w:rsid w:val="00425A90"/>
    <w:rsid w:val="00425C4F"/>
    <w:rsid w:val="00425DC3"/>
    <w:rsid w:val="00425DF0"/>
    <w:rsid w:val="004263E6"/>
    <w:rsid w:val="0042728C"/>
    <w:rsid w:val="0042793A"/>
    <w:rsid w:val="00427A38"/>
    <w:rsid w:val="00430DB9"/>
    <w:rsid w:val="0043114E"/>
    <w:rsid w:val="00431334"/>
    <w:rsid w:val="00431744"/>
    <w:rsid w:val="0043213C"/>
    <w:rsid w:val="004321C4"/>
    <w:rsid w:val="00432280"/>
    <w:rsid w:val="004325B0"/>
    <w:rsid w:val="0043392F"/>
    <w:rsid w:val="00433932"/>
    <w:rsid w:val="00434067"/>
    <w:rsid w:val="00434172"/>
    <w:rsid w:val="00434282"/>
    <w:rsid w:val="00434840"/>
    <w:rsid w:val="00434E5B"/>
    <w:rsid w:val="00435466"/>
    <w:rsid w:val="00435FB3"/>
    <w:rsid w:val="00436870"/>
    <w:rsid w:val="00437450"/>
    <w:rsid w:val="004374ED"/>
    <w:rsid w:val="00437676"/>
    <w:rsid w:val="00437A95"/>
    <w:rsid w:val="00437E95"/>
    <w:rsid w:val="00440D92"/>
    <w:rsid w:val="00441945"/>
    <w:rsid w:val="00441BAC"/>
    <w:rsid w:val="00441E5A"/>
    <w:rsid w:val="00441F1C"/>
    <w:rsid w:val="00442B75"/>
    <w:rsid w:val="00442DD7"/>
    <w:rsid w:val="00442FC2"/>
    <w:rsid w:val="00443C9F"/>
    <w:rsid w:val="00444530"/>
    <w:rsid w:val="004446A9"/>
    <w:rsid w:val="00444E5C"/>
    <w:rsid w:val="00445184"/>
    <w:rsid w:val="004453EF"/>
    <w:rsid w:val="00445AC4"/>
    <w:rsid w:val="00445FB0"/>
    <w:rsid w:val="00446261"/>
    <w:rsid w:val="00446646"/>
    <w:rsid w:val="00446723"/>
    <w:rsid w:val="00446E7A"/>
    <w:rsid w:val="0044716D"/>
    <w:rsid w:val="00447463"/>
    <w:rsid w:val="00447743"/>
    <w:rsid w:val="0045033F"/>
    <w:rsid w:val="00450A27"/>
    <w:rsid w:val="00450A33"/>
    <w:rsid w:val="00451197"/>
    <w:rsid w:val="00451299"/>
    <w:rsid w:val="00451598"/>
    <w:rsid w:val="00451648"/>
    <w:rsid w:val="0045185D"/>
    <w:rsid w:val="00451A3C"/>
    <w:rsid w:val="00451D44"/>
    <w:rsid w:val="00451E5A"/>
    <w:rsid w:val="00451F0E"/>
    <w:rsid w:val="00451FBD"/>
    <w:rsid w:val="0045227D"/>
    <w:rsid w:val="0045284A"/>
    <w:rsid w:val="00452C13"/>
    <w:rsid w:val="00452DB2"/>
    <w:rsid w:val="00452EF4"/>
    <w:rsid w:val="00452FE5"/>
    <w:rsid w:val="00453289"/>
    <w:rsid w:val="004533AF"/>
    <w:rsid w:val="004534B0"/>
    <w:rsid w:val="00453918"/>
    <w:rsid w:val="00454431"/>
    <w:rsid w:val="0045452C"/>
    <w:rsid w:val="004550C5"/>
    <w:rsid w:val="0045577A"/>
    <w:rsid w:val="00455A80"/>
    <w:rsid w:val="00455C53"/>
    <w:rsid w:val="00455FF1"/>
    <w:rsid w:val="0045627A"/>
    <w:rsid w:val="0045651B"/>
    <w:rsid w:val="00456DED"/>
    <w:rsid w:val="004572B0"/>
    <w:rsid w:val="004573BD"/>
    <w:rsid w:val="004578DB"/>
    <w:rsid w:val="004579C0"/>
    <w:rsid w:val="00457AE6"/>
    <w:rsid w:val="00457BDF"/>
    <w:rsid w:val="00460469"/>
    <w:rsid w:val="004606E7"/>
    <w:rsid w:val="0046089E"/>
    <w:rsid w:val="00460C33"/>
    <w:rsid w:val="004614C3"/>
    <w:rsid w:val="004618C3"/>
    <w:rsid w:val="00461D2A"/>
    <w:rsid w:val="00461DE5"/>
    <w:rsid w:val="00461E9D"/>
    <w:rsid w:val="00462001"/>
    <w:rsid w:val="00462670"/>
    <w:rsid w:val="00462CA8"/>
    <w:rsid w:val="00463A85"/>
    <w:rsid w:val="00463E8C"/>
    <w:rsid w:val="00463F94"/>
    <w:rsid w:val="0046401C"/>
    <w:rsid w:val="004641B5"/>
    <w:rsid w:val="004649C9"/>
    <w:rsid w:val="004649FC"/>
    <w:rsid w:val="0046597F"/>
    <w:rsid w:val="0046598F"/>
    <w:rsid w:val="00465BFA"/>
    <w:rsid w:val="00465C03"/>
    <w:rsid w:val="00465C25"/>
    <w:rsid w:val="00465EC1"/>
    <w:rsid w:val="004660B7"/>
    <w:rsid w:val="0046611B"/>
    <w:rsid w:val="00466139"/>
    <w:rsid w:val="00466D21"/>
    <w:rsid w:val="00466DC7"/>
    <w:rsid w:val="00466E4A"/>
    <w:rsid w:val="0046737D"/>
    <w:rsid w:val="004677A3"/>
    <w:rsid w:val="0046793E"/>
    <w:rsid w:val="00467A99"/>
    <w:rsid w:val="0047007D"/>
    <w:rsid w:val="0047045E"/>
    <w:rsid w:val="004709AB"/>
    <w:rsid w:val="00470DAB"/>
    <w:rsid w:val="00470E92"/>
    <w:rsid w:val="00470F2D"/>
    <w:rsid w:val="00471EDF"/>
    <w:rsid w:val="004720D2"/>
    <w:rsid w:val="0047242C"/>
    <w:rsid w:val="00472539"/>
    <w:rsid w:val="00472877"/>
    <w:rsid w:val="00473686"/>
    <w:rsid w:val="004739D6"/>
    <w:rsid w:val="00473B1F"/>
    <w:rsid w:val="00473CCC"/>
    <w:rsid w:val="00474070"/>
    <w:rsid w:val="0047432E"/>
    <w:rsid w:val="0047450E"/>
    <w:rsid w:val="00474D71"/>
    <w:rsid w:val="00475076"/>
    <w:rsid w:val="0047536E"/>
    <w:rsid w:val="0047549A"/>
    <w:rsid w:val="00475AE1"/>
    <w:rsid w:val="00475C2C"/>
    <w:rsid w:val="00475FC0"/>
    <w:rsid w:val="00476AC9"/>
    <w:rsid w:val="00476B9C"/>
    <w:rsid w:val="00477074"/>
    <w:rsid w:val="004774E3"/>
    <w:rsid w:val="00477611"/>
    <w:rsid w:val="004776E2"/>
    <w:rsid w:val="004800D5"/>
    <w:rsid w:val="004802F8"/>
    <w:rsid w:val="00480412"/>
    <w:rsid w:val="0048059E"/>
    <w:rsid w:val="00480771"/>
    <w:rsid w:val="004811C0"/>
    <w:rsid w:val="00481682"/>
    <w:rsid w:val="00481934"/>
    <w:rsid w:val="004819CD"/>
    <w:rsid w:val="004819F1"/>
    <w:rsid w:val="00481B7D"/>
    <w:rsid w:val="004823B8"/>
    <w:rsid w:val="004827B0"/>
    <w:rsid w:val="004828F2"/>
    <w:rsid w:val="00482A40"/>
    <w:rsid w:val="00482A88"/>
    <w:rsid w:val="00482E2C"/>
    <w:rsid w:val="00483404"/>
    <w:rsid w:val="00483513"/>
    <w:rsid w:val="00483741"/>
    <w:rsid w:val="00483852"/>
    <w:rsid w:val="0048386F"/>
    <w:rsid w:val="0048406F"/>
    <w:rsid w:val="00484560"/>
    <w:rsid w:val="004847B8"/>
    <w:rsid w:val="004847ED"/>
    <w:rsid w:val="00484A96"/>
    <w:rsid w:val="00484B6A"/>
    <w:rsid w:val="00484CE2"/>
    <w:rsid w:val="004850DD"/>
    <w:rsid w:val="004855BB"/>
    <w:rsid w:val="0048570B"/>
    <w:rsid w:val="00485C84"/>
    <w:rsid w:val="00485D15"/>
    <w:rsid w:val="00485FB7"/>
    <w:rsid w:val="00486151"/>
    <w:rsid w:val="00486779"/>
    <w:rsid w:val="00486A5C"/>
    <w:rsid w:val="00486C5A"/>
    <w:rsid w:val="0048744C"/>
    <w:rsid w:val="00487C02"/>
    <w:rsid w:val="00490156"/>
    <w:rsid w:val="0049052A"/>
    <w:rsid w:val="00490AB1"/>
    <w:rsid w:val="00491158"/>
    <w:rsid w:val="00491C16"/>
    <w:rsid w:val="00491FAF"/>
    <w:rsid w:val="00492149"/>
    <w:rsid w:val="00492F53"/>
    <w:rsid w:val="00493250"/>
    <w:rsid w:val="004932D7"/>
    <w:rsid w:val="004935F1"/>
    <w:rsid w:val="00493B05"/>
    <w:rsid w:val="00493C21"/>
    <w:rsid w:val="00494116"/>
    <w:rsid w:val="00494523"/>
    <w:rsid w:val="00494E92"/>
    <w:rsid w:val="00495010"/>
    <w:rsid w:val="00495096"/>
    <w:rsid w:val="0049563B"/>
    <w:rsid w:val="004956D0"/>
    <w:rsid w:val="00495933"/>
    <w:rsid w:val="00495D6A"/>
    <w:rsid w:val="00495DBD"/>
    <w:rsid w:val="00496A2D"/>
    <w:rsid w:val="00496D2C"/>
    <w:rsid w:val="00496F52"/>
    <w:rsid w:val="00497356"/>
    <w:rsid w:val="004975ED"/>
    <w:rsid w:val="00497855"/>
    <w:rsid w:val="00497B85"/>
    <w:rsid w:val="00497ED5"/>
    <w:rsid w:val="004A014A"/>
    <w:rsid w:val="004A01E5"/>
    <w:rsid w:val="004A09CD"/>
    <w:rsid w:val="004A183F"/>
    <w:rsid w:val="004A1DE3"/>
    <w:rsid w:val="004A2107"/>
    <w:rsid w:val="004A279F"/>
    <w:rsid w:val="004A2A4D"/>
    <w:rsid w:val="004A2A8F"/>
    <w:rsid w:val="004A2AE9"/>
    <w:rsid w:val="004A2EE9"/>
    <w:rsid w:val="004A3A24"/>
    <w:rsid w:val="004A3ED2"/>
    <w:rsid w:val="004A4401"/>
    <w:rsid w:val="004A485E"/>
    <w:rsid w:val="004A49E0"/>
    <w:rsid w:val="004A5E6B"/>
    <w:rsid w:val="004A5EE1"/>
    <w:rsid w:val="004A6355"/>
    <w:rsid w:val="004A6995"/>
    <w:rsid w:val="004A6BD5"/>
    <w:rsid w:val="004A75E1"/>
    <w:rsid w:val="004B04DE"/>
    <w:rsid w:val="004B0827"/>
    <w:rsid w:val="004B08AF"/>
    <w:rsid w:val="004B0AB2"/>
    <w:rsid w:val="004B0D69"/>
    <w:rsid w:val="004B0DA8"/>
    <w:rsid w:val="004B10DE"/>
    <w:rsid w:val="004B165D"/>
    <w:rsid w:val="004B1854"/>
    <w:rsid w:val="004B1E4A"/>
    <w:rsid w:val="004B20E1"/>
    <w:rsid w:val="004B2742"/>
    <w:rsid w:val="004B2899"/>
    <w:rsid w:val="004B2FEF"/>
    <w:rsid w:val="004B3178"/>
    <w:rsid w:val="004B37E6"/>
    <w:rsid w:val="004B3907"/>
    <w:rsid w:val="004B3E6D"/>
    <w:rsid w:val="004B3F56"/>
    <w:rsid w:val="004B4240"/>
    <w:rsid w:val="004B4817"/>
    <w:rsid w:val="004B48AD"/>
    <w:rsid w:val="004B4B54"/>
    <w:rsid w:val="004B4C7F"/>
    <w:rsid w:val="004B5425"/>
    <w:rsid w:val="004B5951"/>
    <w:rsid w:val="004B5AE8"/>
    <w:rsid w:val="004B5BDD"/>
    <w:rsid w:val="004B67AD"/>
    <w:rsid w:val="004B6C16"/>
    <w:rsid w:val="004B6C46"/>
    <w:rsid w:val="004B7253"/>
    <w:rsid w:val="004B77D5"/>
    <w:rsid w:val="004B7B2C"/>
    <w:rsid w:val="004C0ACF"/>
    <w:rsid w:val="004C0CCC"/>
    <w:rsid w:val="004C0E88"/>
    <w:rsid w:val="004C10C3"/>
    <w:rsid w:val="004C1280"/>
    <w:rsid w:val="004C1320"/>
    <w:rsid w:val="004C13B6"/>
    <w:rsid w:val="004C19D1"/>
    <w:rsid w:val="004C1C26"/>
    <w:rsid w:val="004C1C87"/>
    <w:rsid w:val="004C2208"/>
    <w:rsid w:val="004C224B"/>
    <w:rsid w:val="004C296A"/>
    <w:rsid w:val="004C2C86"/>
    <w:rsid w:val="004C2F41"/>
    <w:rsid w:val="004C38C1"/>
    <w:rsid w:val="004C3A38"/>
    <w:rsid w:val="004C3AAD"/>
    <w:rsid w:val="004C3F4C"/>
    <w:rsid w:val="004C413A"/>
    <w:rsid w:val="004C4165"/>
    <w:rsid w:val="004C430D"/>
    <w:rsid w:val="004C4C2C"/>
    <w:rsid w:val="004C5321"/>
    <w:rsid w:val="004C5364"/>
    <w:rsid w:val="004C5722"/>
    <w:rsid w:val="004C57D2"/>
    <w:rsid w:val="004C5804"/>
    <w:rsid w:val="004C59D5"/>
    <w:rsid w:val="004C5DF9"/>
    <w:rsid w:val="004C5E86"/>
    <w:rsid w:val="004C60E4"/>
    <w:rsid w:val="004C6C7C"/>
    <w:rsid w:val="004C72C8"/>
    <w:rsid w:val="004C756B"/>
    <w:rsid w:val="004C75C6"/>
    <w:rsid w:val="004C7EC6"/>
    <w:rsid w:val="004D08FA"/>
    <w:rsid w:val="004D09CE"/>
    <w:rsid w:val="004D17DC"/>
    <w:rsid w:val="004D1B0B"/>
    <w:rsid w:val="004D1B49"/>
    <w:rsid w:val="004D1E58"/>
    <w:rsid w:val="004D2592"/>
    <w:rsid w:val="004D2A74"/>
    <w:rsid w:val="004D2B8F"/>
    <w:rsid w:val="004D3CF5"/>
    <w:rsid w:val="004D3E3D"/>
    <w:rsid w:val="004D3E9A"/>
    <w:rsid w:val="004D3F8F"/>
    <w:rsid w:val="004D3FDB"/>
    <w:rsid w:val="004D4BED"/>
    <w:rsid w:val="004D4D2C"/>
    <w:rsid w:val="004D5A72"/>
    <w:rsid w:val="004D5BED"/>
    <w:rsid w:val="004D6654"/>
    <w:rsid w:val="004D67E3"/>
    <w:rsid w:val="004D72AC"/>
    <w:rsid w:val="004D7386"/>
    <w:rsid w:val="004D73B7"/>
    <w:rsid w:val="004D7425"/>
    <w:rsid w:val="004D7767"/>
    <w:rsid w:val="004D7F5F"/>
    <w:rsid w:val="004E0AC4"/>
    <w:rsid w:val="004E0F70"/>
    <w:rsid w:val="004E1CB8"/>
    <w:rsid w:val="004E1D00"/>
    <w:rsid w:val="004E21C8"/>
    <w:rsid w:val="004E2B6D"/>
    <w:rsid w:val="004E2C46"/>
    <w:rsid w:val="004E2D1A"/>
    <w:rsid w:val="004E2E10"/>
    <w:rsid w:val="004E3977"/>
    <w:rsid w:val="004E3EAF"/>
    <w:rsid w:val="004E4538"/>
    <w:rsid w:val="004E489C"/>
    <w:rsid w:val="004E4A6B"/>
    <w:rsid w:val="004E4C01"/>
    <w:rsid w:val="004E4C12"/>
    <w:rsid w:val="004E51C5"/>
    <w:rsid w:val="004E582D"/>
    <w:rsid w:val="004E5AC1"/>
    <w:rsid w:val="004E5D78"/>
    <w:rsid w:val="004E61C2"/>
    <w:rsid w:val="004E6B79"/>
    <w:rsid w:val="004E6FE7"/>
    <w:rsid w:val="004E713C"/>
    <w:rsid w:val="004E7525"/>
    <w:rsid w:val="004E7727"/>
    <w:rsid w:val="004F0563"/>
    <w:rsid w:val="004F0A17"/>
    <w:rsid w:val="004F0D9A"/>
    <w:rsid w:val="004F0E54"/>
    <w:rsid w:val="004F1063"/>
    <w:rsid w:val="004F1135"/>
    <w:rsid w:val="004F130A"/>
    <w:rsid w:val="004F13D7"/>
    <w:rsid w:val="004F1790"/>
    <w:rsid w:val="004F1803"/>
    <w:rsid w:val="004F1A41"/>
    <w:rsid w:val="004F1AE5"/>
    <w:rsid w:val="004F2EE3"/>
    <w:rsid w:val="004F32DD"/>
    <w:rsid w:val="004F3348"/>
    <w:rsid w:val="004F35F4"/>
    <w:rsid w:val="004F3B56"/>
    <w:rsid w:val="004F3EA5"/>
    <w:rsid w:val="004F485A"/>
    <w:rsid w:val="004F4E6E"/>
    <w:rsid w:val="004F4F17"/>
    <w:rsid w:val="004F5716"/>
    <w:rsid w:val="004F60A9"/>
    <w:rsid w:val="004F6578"/>
    <w:rsid w:val="004F6673"/>
    <w:rsid w:val="004F6B70"/>
    <w:rsid w:val="004F7051"/>
    <w:rsid w:val="004F7300"/>
    <w:rsid w:val="004F761A"/>
    <w:rsid w:val="004F7DAE"/>
    <w:rsid w:val="005007D6"/>
    <w:rsid w:val="005013D9"/>
    <w:rsid w:val="005013F8"/>
    <w:rsid w:val="005016E8"/>
    <w:rsid w:val="00501A38"/>
    <w:rsid w:val="00501B8F"/>
    <w:rsid w:val="00501D5A"/>
    <w:rsid w:val="00501E92"/>
    <w:rsid w:val="00501FD8"/>
    <w:rsid w:val="005020B1"/>
    <w:rsid w:val="005023C0"/>
    <w:rsid w:val="00502A16"/>
    <w:rsid w:val="00502EE8"/>
    <w:rsid w:val="005030E8"/>
    <w:rsid w:val="0050355C"/>
    <w:rsid w:val="00503E78"/>
    <w:rsid w:val="005041C7"/>
    <w:rsid w:val="00504209"/>
    <w:rsid w:val="0050422D"/>
    <w:rsid w:val="00504AE1"/>
    <w:rsid w:val="0050539E"/>
    <w:rsid w:val="00505561"/>
    <w:rsid w:val="00505670"/>
    <w:rsid w:val="005056AA"/>
    <w:rsid w:val="00505875"/>
    <w:rsid w:val="00506024"/>
    <w:rsid w:val="00506032"/>
    <w:rsid w:val="005066F7"/>
    <w:rsid w:val="00506A55"/>
    <w:rsid w:val="00506D44"/>
    <w:rsid w:val="00506F13"/>
    <w:rsid w:val="005072B3"/>
    <w:rsid w:val="0050743A"/>
    <w:rsid w:val="0050768A"/>
    <w:rsid w:val="005078F4"/>
    <w:rsid w:val="00507A1B"/>
    <w:rsid w:val="005110FC"/>
    <w:rsid w:val="00511BAC"/>
    <w:rsid w:val="00511CEF"/>
    <w:rsid w:val="00511F3D"/>
    <w:rsid w:val="005122FE"/>
    <w:rsid w:val="0051244D"/>
    <w:rsid w:val="00512A45"/>
    <w:rsid w:val="00513891"/>
    <w:rsid w:val="00513A3E"/>
    <w:rsid w:val="00513AAE"/>
    <w:rsid w:val="00513D72"/>
    <w:rsid w:val="0051401D"/>
    <w:rsid w:val="00515B70"/>
    <w:rsid w:val="00515C93"/>
    <w:rsid w:val="00515F32"/>
    <w:rsid w:val="00516C87"/>
    <w:rsid w:val="0051714B"/>
    <w:rsid w:val="00517235"/>
    <w:rsid w:val="00517B1C"/>
    <w:rsid w:val="00517CCF"/>
    <w:rsid w:val="00520080"/>
    <w:rsid w:val="00520538"/>
    <w:rsid w:val="00520AA1"/>
    <w:rsid w:val="00520DF0"/>
    <w:rsid w:val="00520FEE"/>
    <w:rsid w:val="0052142A"/>
    <w:rsid w:val="00521B8B"/>
    <w:rsid w:val="00521C21"/>
    <w:rsid w:val="00521FED"/>
    <w:rsid w:val="00522133"/>
    <w:rsid w:val="005221E4"/>
    <w:rsid w:val="005222D9"/>
    <w:rsid w:val="005229E3"/>
    <w:rsid w:val="00522AFF"/>
    <w:rsid w:val="005234BF"/>
    <w:rsid w:val="005237CA"/>
    <w:rsid w:val="005239FD"/>
    <w:rsid w:val="00524A1C"/>
    <w:rsid w:val="005251BC"/>
    <w:rsid w:val="00525538"/>
    <w:rsid w:val="0052554D"/>
    <w:rsid w:val="005257E6"/>
    <w:rsid w:val="00525F1A"/>
    <w:rsid w:val="00525FCD"/>
    <w:rsid w:val="00526841"/>
    <w:rsid w:val="005269C0"/>
    <w:rsid w:val="00526DF5"/>
    <w:rsid w:val="00527012"/>
    <w:rsid w:val="0052776A"/>
    <w:rsid w:val="00527E31"/>
    <w:rsid w:val="0053030D"/>
    <w:rsid w:val="005303DF"/>
    <w:rsid w:val="00530488"/>
    <w:rsid w:val="005305D8"/>
    <w:rsid w:val="005308D2"/>
    <w:rsid w:val="0053108A"/>
    <w:rsid w:val="00531382"/>
    <w:rsid w:val="00531550"/>
    <w:rsid w:val="00531ABF"/>
    <w:rsid w:val="00531EEC"/>
    <w:rsid w:val="0053218E"/>
    <w:rsid w:val="0053301C"/>
    <w:rsid w:val="005336B9"/>
    <w:rsid w:val="00533B14"/>
    <w:rsid w:val="00533C8D"/>
    <w:rsid w:val="00533DAD"/>
    <w:rsid w:val="00534AA5"/>
    <w:rsid w:val="00534C43"/>
    <w:rsid w:val="00534DD5"/>
    <w:rsid w:val="00534E99"/>
    <w:rsid w:val="005350A6"/>
    <w:rsid w:val="005354BC"/>
    <w:rsid w:val="00535E30"/>
    <w:rsid w:val="00535FDC"/>
    <w:rsid w:val="005364DD"/>
    <w:rsid w:val="005366F9"/>
    <w:rsid w:val="00536735"/>
    <w:rsid w:val="00536788"/>
    <w:rsid w:val="00536B51"/>
    <w:rsid w:val="00536B8D"/>
    <w:rsid w:val="00536BC5"/>
    <w:rsid w:val="00536C12"/>
    <w:rsid w:val="005371EF"/>
    <w:rsid w:val="00537662"/>
    <w:rsid w:val="0053794E"/>
    <w:rsid w:val="00537B6B"/>
    <w:rsid w:val="00537EC8"/>
    <w:rsid w:val="005400D4"/>
    <w:rsid w:val="0054015D"/>
    <w:rsid w:val="00540B13"/>
    <w:rsid w:val="00540CA8"/>
    <w:rsid w:val="00540DC8"/>
    <w:rsid w:val="00540F6D"/>
    <w:rsid w:val="005413F6"/>
    <w:rsid w:val="0054163C"/>
    <w:rsid w:val="00541ADA"/>
    <w:rsid w:val="00541BED"/>
    <w:rsid w:val="00541F74"/>
    <w:rsid w:val="005424AB"/>
    <w:rsid w:val="00542841"/>
    <w:rsid w:val="00542AF0"/>
    <w:rsid w:val="00542B27"/>
    <w:rsid w:val="00542E2C"/>
    <w:rsid w:val="00542EED"/>
    <w:rsid w:val="00542EF2"/>
    <w:rsid w:val="005432B9"/>
    <w:rsid w:val="00543A80"/>
    <w:rsid w:val="00543A9D"/>
    <w:rsid w:val="00543E53"/>
    <w:rsid w:val="00543EFC"/>
    <w:rsid w:val="0054477D"/>
    <w:rsid w:val="005448FD"/>
    <w:rsid w:val="005451AB"/>
    <w:rsid w:val="005453EF"/>
    <w:rsid w:val="0054553A"/>
    <w:rsid w:val="005455EC"/>
    <w:rsid w:val="00545DBF"/>
    <w:rsid w:val="00545EC2"/>
    <w:rsid w:val="0054608D"/>
    <w:rsid w:val="0054609E"/>
    <w:rsid w:val="0054610A"/>
    <w:rsid w:val="00546193"/>
    <w:rsid w:val="00546509"/>
    <w:rsid w:val="0054652D"/>
    <w:rsid w:val="005465B2"/>
    <w:rsid w:val="005466B4"/>
    <w:rsid w:val="005468AF"/>
    <w:rsid w:val="00546BD1"/>
    <w:rsid w:val="00546BD2"/>
    <w:rsid w:val="00546D74"/>
    <w:rsid w:val="00546ED6"/>
    <w:rsid w:val="00546FF0"/>
    <w:rsid w:val="005470BB"/>
    <w:rsid w:val="00547635"/>
    <w:rsid w:val="00547850"/>
    <w:rsid w:val="00547A16"/>
    <w:rsid w:val="005503CA"/>
    <w:rsid w:val="00550CB8"/>
    <w:rsid w:val="00550E4F"/>
    <w:rsid w:val="00550FD8"/>
    <w:rsid w:val="0055103B"/>
    <w:rsid w:val="0055131E"/>
    <w:rsid w:val="00551646"/>
    <w:rsid w:val="00551B0D"/>
    <w:rsid w:val="00551D08"/>
    <w:rsid w:val="00551D54"/>
    <w:rsid w:val="00551EDF"/>
    <w:rsid w:val="00552044"/>
    <w:rsid w:val="00552393"/>
    <w:rsid w:val="00552811"/>
    <w:rsid w:val="005528CF"/>
    <w:rsid w:val="00552B58"/>
    <w:rsid w:val="00553147"/>
    <w:rsid w:val="00553DC4"/>
    <w:rsid w:val="00553FEC"/>
    <w:rsid w:val="005543C9"/>
    <w:rsid w:val="005548A0"/>
    <w:rsid w:val="00554DDE"/>
    <w:rsid w:val="00554EC6"/>
    <w:rsid w:val="00555217"/>
    <w:rsid w:val="005554C6"/>
    <w:rsid w:val="00555645"/>
    <w:rsid w:val="0055574A"/>
    <w:rsid w:val="005558F4"/>
    <w:rsid w:val="00555908"/>
    <w:rsid w:val="00555A92"/>
    <w:rsid w:val="00555E0B"/>
    <w:rsid w:val="00556431"/>
    <w:rsid w:val="005566EA"/>
    <w:rsid w:val="00556DC0"/>
    <w:rsid w:val="00556E95"/>
    <w:rsid w:val="005576E3"/>
    <w:rsid w:val="00557780"/>
    <w:rsid w:val="00557E9C"/>
    <w:rsid w:val="00557FDD"/>
    <w:rsid w:val="005602E9"/>
    <w:rsid w:val="005606BA"/>
    <w:rsid w:val="005609C8"/>
    <w:rsid w:val="00560A72"/>
    <w:rsid w:val="00560FC4"/>
    <w:rsid w:val="005613FB"/>
    <w:rsid w:val="005614BB"/>
    <w:rsid w:val="005618E0"/>
    <w:rsid w:val="00561BC3"/>
    <w:rsid w:val="00561D06"/>
    <w:rsid w:val="00561E18"/>
    <w:rsid w:val="00561ECD"/>
    <w:rsid w:val="00561F57"/>
    <w:rsid w:val="00562375"/>
    <w:rsid w:val="005628B5"/>
    <w:rsid w:val="00562FC7"/>
    <w:rsid w:val="005631D1"/>
    <w:rsid w:val="005635DB"/>
    <w:rsid w:val="00563613"/>
    <w:rsid w:val="00563710"/>
    <w:rsid w:val="005640A5"/>
    <w:rsid w:val="00564168"/>
    <w:rsid w:val="00564B33"/>
    <w:rsid w:val="00564B93"/>
    <w:rsid w:val="00565253"/>
    <w:rsid w:val="005652D4"/>
    <w:rsid w:val="00565520"/>
    <w:rsid w:val="005656FC"/>
    <w:rsid w:val="00565EC8"/>
    <w:rsid w:val="00566A3B"/>
    <w:rsid w:val="00566B16"/>
    <w:rsid w:val="00566C12"/>
    <w:rsid w:val="00566D7C"/>
    <w:rsid w:val="00566D9E"/>
    <w:rsid w:val="0056702B"/>
    <w:rsid w:val="00567346"/>
    <w:rsid w:val="005673E1"/>
    <w:rsid w:val="00567DA7"/>
    <w:rsid w:val="005700E8"/>
    <w:rsid w:val="0057019B"/>
    <w:rsid w:val="005701AB"/>
    <w:rsid w:val="0057041A"/>
    <w:rsid w:val="00570CE9"/>
    <w:rsid w:val="005713BB"/>
    <w:rsid w:val="005715D6"/>
    <w:rsid w:val="00571CDA"/>
    <w:rsid w:val="00571DB4"/>
    <w:rsid w:val="0057212B"/>
    <w:rsid w:val="0057216E"/>
    <w:rsid w:val="0057277B"/>
    <w:rsid w:val="00572E4E"/>
    <w:rsid w:val="005735BD"/>
    <w:rsid w:val="005738DA"/>
    <w:rsid w:val="00574138"/>
    <w:rsid w:val="0057423B"/>
    <w:rsid w:val="00574AA5"/>
    <w:rsid w:val="00574C64"/>
    <w:rsid w:val="00574C71"/>
    <w:rsid w:val="00574DE4"/>
    <w:rsid w:val="0057555D"/>
    <w:rsid w:val="005757D6"/>
    <w:rsid w:val="00575AFE"/>
    <w:rsid w:val="00575CE6"/>
    <w:rsid w:val="00575E89"/>
    <w:rsid w:val="00575FE6"/>
    <w:rsid w:val="00576324"/>
    <w:rsid w:val="005763B1"/>
    <w:rsid w:val="0057643A"/>
    <w:rsid w:val="005764EC"/>
    <w:rsid w:val="00576524"/>
    <w:rsid w:val="005765C3"/>
    <w:rsid w:val="005767FA"/>
    <w:rsid w:val="00576986"/>
    <w:rsid w:val="00576EE7"/>
    <w:rsid w:val="00576FE7"/>
    <w:rsid w:val="005778FC"/>
    <w:rsid w:val="005779DA"/>
    <w:rsid w:val="00577A01"/>
    <w:rsid w:val="005800EF"/>
    <w:rsid w:val="00580300"/>
    <w:rsid w:val="005804E1"/>
    <w:rsid w:val="00580832"/>
    <w:rsid w:val="00580C50"/>
    <w:rsid w:val="00581952"/>
    <w:rsid w:val="00581ABC"/>
    <w:rsid w:val="0058209A"/>
    <w:rsid w:val="0058235C"/>
    <w:rsid w:val="00582433"/>
    <w:rsid w:val="005824EE"/>
    <w:rsid w:val="00582569"/>
    <w:rsid w:val="00582705"/>
    <w:rsid w:val="0058272C"/>
    <w:rsid w:val="0058388E"/>
    <w:rsid w:val="00583ED6"/>
    <w:rsid w:val="00584C03"/>
    <w:rsid w:val="00584D78"/>
    <w:rsid w:val="00584DD9"/>
    <w:rsid w:val="005851E4"/>
    <w:rsid w:val="00585468"/>
    <w:rsid w:val="00585C92"/>
    <w:rsid w:val="00585FD6"/>
    <w:rsid w:val="00586612"/>
    <w:rsid w:val="0058682F"/>
    <w:rsid w:val="00586D17"/>
    <w:rsid w:val="00587221"/>
    <w:rsid w:val="005875C3"/>
    <w:rsid w:val="00587B1D"/>
    <w:rsid w:val="00587BC1"/>
    <w:rsid w:val="00587CED"/>
    <w:rsid w:val="00587DA9"/>
    <w:rsid w:val="0059058D"/>
    <w:rsid w:val="00590743"/>
    <w:rsid w:val="00590A19"/>
    <w:rsid w:val="00590F34"/>
    <w:rsid w:val="0059181C"/>
    <w:rsid w:val="00591D62"/>
    <w:rsid w:val="00592213"/>
    <w:rsid w:val="005923FC"/>
    <w:rsid w:val="0059256F"/>
    <w:rsid w:val="0059261C"/>
    <w:rsid w:val="00592912"/>
    <w:rsid w:val="00592AC5"/>
    <w:rsid w:val="00592C6F"/>
    <w:rsid w:val="00592F82"/>
    <w:rsid w:val="00593150"/>
    <w:rsid w:val="00593388"/>
    <w:rsid w:val="00593422"/>
    <w:rsid w:val="005938F0"/>
    <w:rsid w:val="00593D4A"/>
    <w:rsid w:val="00593DC8"/>
    <w:rsid w:val="0059402D"/>
    <w:rsid w:val="00594385"/>
    <w:rsid w:val="00594D2F"/>
    <w:rsid w:val="00594EF3"/>
    <w:rsid w:val="0059536F"/>
    <w:rsid w:val="00595838"/>
    <w:rsid w:val="005959FD"/>
    <w:rsid w:val="00596F2E"/>
    <w:rsid w:val="005972A5"/>
    <w:rsid w:val="005973C3"/>
    <w:rsid w:val="005976B8"/>
    <w:rsid w:val="00597B64"/>
    <w:rsid w:val="005A0712"/>
    <w:rsid w:val="005A0AA6"/>
    <w:rsid w:val="005A0B73"/>
    <w:rsid w:val="005A1181"/>
    <w:rsid w:val="005A175C"/>
    <w:rsid w:val="005A180E"/>
    <w:rsid w:val="005A1B99"/>
    <w:rsid w:val="005A1CD9"/>
    <w:rsid w:val="005A2E25"/>
    <w:rsid w:val="005A3122"/>
    <w:rsid w:val="005A386E"/>
    <w:rsid w:val="005A39CC"/>
    <w:rsid w:val="005A4BFD"/>
    <w:rsid w:val="005A4D19"/>
    <w:rsid w:val="005A4F93"/>
    <w:rsid w:val="005A5D78"/>
    <w:rsid w:val="005A6879"/>
    <w:rsid w:val="005A68FE"/>
    <w:rsid w:val="005A6D78"/>
    <w:rsid w:val="005A71F2"/>
    <w:rsid w:val="005A79F2"/>
    <w:rsid w:val="005A7C04"/>
    <w:rsid w:val="005A7E7A"/>
    <w:rsid w:val="005A7F74"/>
    <w:rsid w:val="005B018B"/>
    <w:rsid w:val="005B02B9"/>
    <w:rsid w:val="005B0F77"/>
    <w:rsid w:val="005B13C3"/>
    <w:rsid w:val="005B29B2"/>
    <w:rsid w:val="005B2F30"/>
    <w:rsid w:val="005B3330"/>
    <w:rsid w:val="005B339B"/>
    <w:rsid w:val="005B3B8B"/>
    <w:rsid w:val="005B442A"/>
    <w:rsid w:val="005B462C"/>
    <w:rsid w:val="005B4D43"/>
    <w:rsid w:val="005B4DFA"/>
    <w:rsid w:val="005B54A6"/>
    <w:rsid w:val="005B5643"/>
    <w:rsid w:val="005B5701"/>
    <w:rsid w:val="005B57CF"/>
    <w:rsid w:val="005B581B"/>
    <w:rsid w:val="005B5BD5"/>
    <w:rsid w:val="005B5EC8"/>
    <w:rsid w:val="005B62D3"/>
    <w:rsid w:val="005B679D"/>
    <w:rsid w:val="005B68A1"/>
    <w:rsid w:val="005B6A9A"/>
    <w:rsid w:val="005B6FED"/>
    <w:rsid w:val="005B75CB"/>
    <w:rsid w:val="005C02FE"/>
    <w:rsid w:val="005C050D"/>
    <w:rsid w:val="005C05BA"/>
    <w:rsid w:val="005C05C2"/>
    <w:rsid w:val="005C125F"/>
    <w:rsid w:val="005C146F"/>
    <w:rsid w:val="005C14FA"/>
    <w:rsid w:val="005C1A2A"/>
    <w:rsid w:val="005C22B9"/>
    <w:rsid w:val="005C2525"/>
    <w:rsid w:val="005C260C"/>
    <w:rsid w:val="005C2AF8"/>
    <w:rsid w:val="005C2D54"/>
    <w:rsid w:val="005C3613"/>
    <w:rsid w:val="005C3B23"/>
    <w:rsid w:val="005C3EBF"/>
    <w:rsid w:val="005C40AD"/>
    <w:rsid w:val="005C5035"/>
    <w:rsid w:val="005C52FB"/>
    <w:rsid w:val="005C54D8"/>
    <w:rsid w:val="005C54E5"/>
    <w:rsid w:val="005C55AF"/>
    <w:rsid w:val="005C5828"/>
    <w:rsid w:val="005C5CD1"/>
    <w:rsid w:val="005C680C"/>
    <w:rsid w:val="005C6D71"/>
    <w:rsid w:val="005C7142"/>
    <w:rsid w:val="005D0320"/>
    <w:rsid w:val="005D06B0"/>
    <w:rsid w:val="005D0886"/>
    <w:rsid w:val="005D0907"/>
    <w:rsid w:val="005D0B13"/>
    <w:rsid w:val="005D11E6"/>
    <w:rsid w:val="005D15B7"/>
    <w:rsid w:val="005D1838"/>
    <w:rsid w:val="005D2403"/>
    <w:rsid w:val="005D2774"/>
    <w:rsid w:val="005D2D16"/>
    <w:rsid w:val="005D33FB"/>
    <w:rsid w:val="005D36B4"/>
    <w:rsid w:val="005D3EC7"/>
    <w:rsid w:val="005D3FA9"/>
    <w:rsid w:val="005D4419"/>
    <w:rsid w:val="005D4879"/>
    <w:rsid w:val="005D48CA"/>
    <w:rsid w:val="005D48E6"/>
    <w:rsid w:val="005D48EC"/>
    <w:rsid w:val="005D5116"/>
    <w:rsid w:val="005D5308"/>
    <w:rsid w:val="005D559A"/>
    <w:rsid w:val="005D5DCE"/>
    <w:rsid w:val="005D5E89"/>
    <w:rsid w:val="005D5FC5"/>
    <w:rsid w:val="005D5FE7"/>
    <w:rsid w:val="005D6403"/>
    <w:rsid w:val="005D67A5"/>
    <w:rsid w:val="005D6A0B"/>
    <w:rsid w:val="005D6D6C"/>
    <w:rsid w:val="005D6E73"/>
    <w:rsid w:val="005D6F3E"/>
    <w:rsid w:val="005D737E"/>
    <w:rsid w:val="005D767F"/>
    <w:rsid w:val="005D7D8D"/>
    <w:rsid w:val="005D7F92"/>
    <w:rsid w:val="005D7FA5"/>
    <w:rsid w:val="005E00D6"/>
    <w:rsid w:val="005E05BE"/>
    <w:rsid w:val="005E1382"/>
    <w:rsid w:val="005E163D"/>
    <w:rsid w:val="005E1A16"/>
    <w:rsid w:val="005E1D03"/>
    <w:rsid w:val="005E278E"/>
    <w:rsid w:val="005E31F9"/>
    <w:rsid w:val="005E3384"/>
    <w:rsid w:val="005E3527"/>
    <w:rsid w:val="005E35C5"/>
    <w:rsid w:val="005E362A"/>
    <w:rsid w:val="005E3697"/>
    <w:rsid w:val="005E3D21"/>
    <w:rsid w:val="005E3E7A"/>
    <w:rsid w:val="005E4212"/>
    <w:rsid w:val="005E439D"/>
    <w:rsid w:val="005E5AC7"/>
    <w:rsid w:val="005E5C08"/>
    <w:rsid w:val="005E5F37"/>
    <w:rsid w:val="005E5FB0"/>
    <w:rsid w:val="005E64BD"/>
    <w:rsid w:val="005E6E4E"/>
    <w:rsid w:val="005E6EB7"/>
    <w:rsid w:val="005E7385"/>
    <w:rsid w:val="005E73E4"/>
    <w:rsid w:val="005E760F"/>
    <w:rsid w:val="005E7750"/>
    <w:rsid w:val="005E7762"/>
    <w:rsid w:val="005F000A"/>
    <w:rsid w:val="005F08BC"/>
    <w:rsid w:val="005F190D"/>
    <w:rsid w:val="005F21A5"/>
    <w:rsid w:val="005F2B0C"/>
    <w:rsid w:val="005F2B57"/>
    <w:rsid w:val="005F2F31"/>
    <w:rsid w:val="005F31D1"/>
    <w:rsid w:val="005F3C30"/>
    <w:rsid w:val="005F4847"/>
    <w:rsid w:val="005F4859"/>
    <w:rsid w:val="005F4BE7"/>
    <w:rsid w:val="005F501E"/>
    <w:rsid w:val="005F5A82"/>
    <w:rsid w:val="005F5B6D"/>
    <w:rsid w:val="005F5EAC"/>
    <w:rsid w:val="005F6274"/>
    <w:rsid w:val="005F642C"/>
    <w:rsid w:val="005F67FC"/>
    <w:rsid w:val="005F735C"/>
    <w:rsid w:val="005F73C0"/>
    <w:rsid w:val="005F7A91"/>
    <w:rsid w:val="005F7AC9"/>
    <w:rsid w:val="005F7D29"/>
    <w:rsid w:val="00600290"/>
    <w:rsid w:val="0060123E"/>
    <w:rsid w:val="00601FD2"/>
    <w:rsid w:val="006030D5"/>
    <w:rsid w:val="00603A57"/>
    <w:rsid w:val="00603C52"/>
    <w:rsid w:val="00603CAB"/>
    <w:rsid w:val="006040F5"/>
    <w:rsid w:val="0060417D"/>
    <w:rsid w:val="00604F59"/>
    <w:rsid w:val="006050E2"/>
    <w:rsid w:val="006051F0"/>
    <w:rsid w:val="00605393"/>
    <w:rsid w:val="00605B6D"/>
    <w:rsid w:val="00606494"/>
    <w:rsid w:val="00606527"/>
    <w:rsid w:val="0060662B"/>
    <w:rsid w:val="0060746C"/>
    <w:rsid w:val="00607FC8"/>
    <w:rsid w:val="00610395"/>
    <w:rsid w:val="00610A46"/>
    <w:rsid w:val="00610AB1"/>
    <w:rsid w:val="00611120"/>
    <w:rsid w:val="00611AD4"/>
    <w:rsid w:val="00611F95"/>
    <w:rsid w:val="00612000"/>
    <w:rsid w:val="00612038"/>
    <w:rsid w:val="0061225F"/>
    <w:rsid w:val="00612413"/>
    <w:rsid w:val="00613A99"/>
    <w:rsid w:val="00613BC8"/>
    <w:rsid w:val="00613D09"/>
    <w:rsid w:val="0061422D"/>
    <w:rsid w:val="0061466A"/>
    <w:rsid w:val="006150AE"/>
    <w:rsid w:val="00615593"/>
    <w:rsid w:val="00615716"/>
    <w:rsid w:val="00615B9D"/>
    <w:rsid w:val="00615C47"/>
    <w:rsid w:val="00615D70"/>
    <w:rsid w:val="006160A9"/>
    <w:rsid w:val="006163A9"/>
    <w:rsid w:val="006168B6"/>
    <w:rsid w:val="00616E56"/>
    <w:rsid w:val="006177BA"/>
    <w:rsid w:val="00617C09"/>
    <w:rsid w:val="00617D66"/>
    <w:rsid w:val="00620081"/>
    <w:rsid w:val="0062013C"/>
    <w:rsid w:val="0062059A"/>
    <w:rsid w:val="006206E9"/>
    <w:rsid w:val="00620943"/>
    <w:rsid w:val="00620973"/>
    <w:rsid w:val="00620C0D"/>
    <w:rsid w:val="00621283"/>
    <w:rsid w:val="006216B3"/>
    <w:rsid w:val="006217DE"/>
    <w:rsid w:val="00621836"/>
    <w:rsid w:val="00621FB3"/>
    <w:rsid w:val="006226CB"/>
    <w:rsid w:val="006229A3"/>
    <w:rsid w:val="0062352F"/>
    <w:rsid w:val="006235C5"/>
    <w:rsid w:val="00623E3D"/>
    <w:rsid w:val="00623F8E"/>
    <w:rsid w:val="0062453E"/>
    <w:rsid w:val="00624838"/>
    <w:rsid w:val="0062492C"/>
    <w:rsid w:val="00624A26"/>
    <w:rsid w:val="00624FCC"/>
    <w:rsid w:val="0062534C"/>
    <w:rsid w:val="006257FB"/>
    <w:rsid w:val="00625879"/>
    <w:rsid w:val="00625F8B"/>
    <w:rsid w:val="006264C1"/>
    <w:rsid w:val="0062676F"/>
    <w:rsid w:val="00626827"/>
    <w:rsid w:val="00626C39"/>
    <w:rsid w:val="00626C43"/>
    <w:rsid w:val="00626C77"/>
    <w:rsid w:val="00626E20"/>
    <w:rsid w:val="006270AA"/>
    <w:rsid w:val="0062722F"/>
    <w:rsid w:val="00627389"/>
    <w:rsid w:val="0062782D"/>
    <w:rsid w:val="006279F4"/>
    <w:rsid w:val="00627A10"/>
    <w:rsid w:val="00627A38"/>
    <w:rsid w:val="00627FB2"/>
    <w:rsid w:val="00630535"/>
    <w:rsid w:val="00630ACE"/>
    <w:rsid w:val="006311EA"/>
    <w:rsid w:val="00631AB7"/>
    <w:rsid w:val="00631B85"/>
    <w:rsid w:val="00631E6B"/>
    <w:rsid w:val="006324B3"/>
    <w:rsid w:val="006328FA"/>
    <w:rsid w:val="0063308C"/>
    <w:rsid w:val="00633416"/>
    <w:rsid w:val="00633596"/>
    <w:rsid w:val="006339AF"/>
    <w:rsid w:val="00633D96"/>
    <w:rsid w:val="00634003"/>
    <w:rsid w:val="00634006"/>
    <w:rsid w:val="006344CB"/>
    <w:rsid w:val="00634AA6"/>
    <w:rsid w:val="00634AC8"/>
    <w:rsid w:val="00634E39"/>
    <w:rsid w:val="006358CB"/>
    <w:rsid w:val="00635936"/>
    <w:rsid w:val="00635CC5"/>
    <w:rsid w:val="00635F36"/>
    <w:rsid w:val="00636019"/>
    <w:rsid w:val="0063647C"/>
    <w:rsid w:val="006366D9"/>
    <w:rsid w:val="0063670F"/>
    <w:rsid w:val="00636C3B"/>
    <w:rsid w:val="00636C45"/>
    <w:rsid w:val="00636CCB"/>
    <w:rsid w:val="00636DC8"/>
    <w:rsid w:val="00636FD0"/>
    <w:rsid w:val="0063705E"/>
    <w:rsid w:val="006370DC"/>
    <w:rsid w:val="006371B4"/>
    <w:rsid w:val="006371F3"/>
    <w:rsid w:val="006374B1"/>
    <w:rsid w:val="006376DF"/>
    <w:rsid w:val="00637AD6"/>
    <w:rsid w:val="00637B26"/>
    <w:rsid w:val="006400B7"/>
    <w:rsid w:val="006402A6"/>
    <w:rsid w:val="006405F1"/>
    <w:rsid w:val="006405F5"/>
    <w:rsid w:val="00640C6A"/>
    <w:rsid w:val="00640EE8"/>
    <w:rsid w:val="00641233"/>
    <w:rsid w:val="00641390"/>
    <w:rsid w:val="006415FC"/>
    <w:rsid w:val="00641642"/>
    <w:rsid w:val="00641851"/>
    <w:rsid w:val="00641C7F"/>
    <w:rsid w:val="00641DD7"/>
    <w:rsid w:val="00641E00"/>
    <w:rsid w:val="00641E66"/>
    <w:rsid w:val="006422F7"/>
    <w:rsid w:val="00642718"/>
    <w:rsid w:val="00642863"/>
    <w:rsid w:val="0064334D"/>
    <w:rsid w:val="006437EA"/>
    <w:rsid w:val="00643E43"/>
    <w:rsid w:val="00644353"/>
    <w:rsid w:val="006443F2"/>
    <w:rsid w:val="00644408"/>
    <w:rsid w:val="006459AC"/>
    <w:rsid w:val="006459B5"/>
    <w:rsid w:val="00645B0D"/>
    <w:rsid w:val="0064652C"/>
    <w:rsid w:val="00646EBE"/>
    <w:rsid w:val="00647392"/>
    <w:rsid w:val="0064739C"/>
    <w:rsid w:val="006477DC"/>
    <w:rsid w:val="00647E67"/>
    <w:rsid w:val="00650291"/>
    <w:rsid w:val="006505F7"/>
    <w:rsid w:val="00650A1C"/>
    <w:rsid w:val="00650C0C"/>
    <w:rsid w:val="006511D7"/>
    <w:rsid w:val="0065129A"/>
    <w:rsid w:val="00651660"/>
    <w:rsid w:val="0065179C"/>
    <w:rsid w:val="00651DE4"/>
    <w:rsid w:val="00652929"/>
    <w:rsid w:val="00653BED"/>
    <w:rsid w:val="00653C0C"/>
    <w:rsid w:val="006541D1"/>
    <w:rsid w:val="006547B0"/>
    <w:rsid w:val="00654CEC"/>
    <w:rsid w:val="00654FD1"/>
    <w:rsid w:val="0065507C"/>
    <w:rsid w:val="00655367"/>
    <w:rsid w:val="0065541D"/>
    <w:rsid w:val="00655950"/>
    <w:rsid w:val="00655A24"/>
    <w:rsid w:val="00655C3F"/>
    <w:rsid w:val="0065691B"/>
    <w:rsid w:val="006569EC"/>
    <w:rsid w:val="00656C80"/>
    <w:rsid w:val="00656FCF"/>
    <w:rsid w:val="006572FC"/>
    <w:rsid w:val="006576B8"/>
    <w:rsid w:val="006577F9"/>
    <w:rsid w:val="00657A36"/>
    <w:rsid w:val="00657C34"/>
    <w:rsid w:val="0066007F"/>
    <w:rsid w:val="0066070F"/>
    <w:rsid w:val="00660CE6"/>
    <w:rsid w:val="00660D69"/>
    <w:rsid w:val="006618FB"/>
    <w:rsid w:val="006627B6"/>
    <w:rsid w:val="00663120"/>
    <w:rsid w:val="00663176"/>
    <w:rsid w:val="006633D7"/>
    <w:rsid w:val="00663DAD"/>
    <w:rsid w:val="00663F88"/>
    <w:rsid w:val="00664552"/>
    <w:rsid w:val="0066478E"/>
    <w:rsid w:val="00664947"/>
    <w:rsid w:val="0066505C"/>
    <w:rsid w:val="00665187"/>
    <w:rsid w:val="006652A2"/>
    <w:rsid w:val="00665894"/>
    <w:rsid w:val="006658B5"/>
    <w:rsid w:val="00665A9E"/>
    <w:rsid w:val="00666088"/>
    <w:rsid w:val="006660ED"/>
    <w:rsid w:val="0066627B"/>
    <w:rsid w:val="0066657D"/>
    <w:rsid w:val="006666F7"/>
    <w:rsid w:val="006667DE"/>
    <w:rsid w:val="006668AF"/>
    <w:rsid w:val="00666A07"/>
    <w:rsid w:val="00666FE4"/>
    <w:rsid w:val="00667635"/>
    <w:rsid w:val="006676DC"/>
    <w:rsid w:val="00667706"/>
    <w:rsid w:val="00667A25"/>
    <w:rsid w:val="00667A71"/>
    <w:rsid w:val="00667E3E"/>
    <w:rsid w:val="006704E6"/>
    <w:rsid w:val="00670B47"/>
    <w:rsid w:val="00670E66"/>
    <w:rsid w:val="006711B4"/>
    <w:rsid w:val="006720AF"/>
    <w:rsid w:val="006722EA"/>
    <w:rsid w:val="00673363"/>
    <w:rsid w:val="00673617"/>
    <w:rsid w:val="0067395E"/>
    <w:rsid w:val="00673AB0"/>
    <w:rsid w:val="00674026"/>
    <w:rsid w:val="00674874"/>
    <w:rsid w:val="006749E9"/>
    <w:rsid w:val="00674AE4"/>
    <w:rsid w:val="00674B82"/>
    <w:rsid w:val="00674F53"/>
    <w:rsid w:val="0067503C"/>
    <w:rsid w:val="0067505D"/>
    <w:rsid w:val="0067514E"/>
    <w:rsid w:val="00675226"/>
    <w:rsid w:val="0067574E"/>
    <w:rsid w:val="0067588C"/>
    <w:rsid w:val="00675937"/>
    <w:rsid w:val="00675A82"/>
    <w:rsid w:val="00675F1C"/>
    <w:rsid w:val="006764EE"/>
    <w:rsid w:val="0067664D"/>
    <w:rsid w:val="00676955"/>
    <w:rsid w:val="00676DD8"/>
    <w:rsid w:val="00676E1F"/>
    <w:rsid w:val="00676FB4"/>
    <w:rsid w:val="00677527"/>
    <w:rsid w:val="00677A72"/>
    <w:rsid w:val="00677BF6"/>
    <w:rsid w:val="006805D8"/>
    <w:rsid w:val="00680E17"/>
    <w:rsid w:val="00681712"/>
    <w:rsid w:val="00681893"/>
    <w:rsid w:val="006823BF"/>
    <w:rsid w:val="00682620"/>
    <w:rsid w:val="006826D9"/>
    <w:rsid w:val="00682B2D"/>
    <w:rsid w:val="00683052"/>
    <w:rsid w:val="006832BC"/>
    <w:rsid w:val="00683704"/>
    <w:rsid w:val="0068397A"/>
    <w:rsid w:val="00683B73"/>
    <w:rsid w:val="00683B85"/>
    <w:rsid w:val="00683D32"/>
    <w:rsid w:val="00683FD2"/>
    <w:rsid w:val="0068403E"/>
    <w:rsid w:val="006841CE"/>
    <w:rsid w:val="0068490B"/>
    <w:rsid w:val="006849C4"/>
    <w:rsid w:val="006851FD"/>
    <w:rsid w:val="006853F2"/>
    <w:rsid w:val="006856FD"/>
    <w:rsid w:val="0068575C"/>
    <w:rsid w:val="006858D8"/>
    <w:rsid w:val="00686255"/>
    <w:rsid w:val="00686316"/>
    <w:rsid w:val="0068691B"/>
    <w:rsid w:val="00687588"/>
    <w:rsid w:val="00687BF8"/>
    <w:rsid w:val="00687D69"/>
    <w:rsid w:val="00687F21"/>
    <w:rsid w:val="00690219"/>
    <w:rsid w:val="00690BEF"/>
    <w:rsid w:val="0069146D"/>
    <w:rsid w:val="00691502"/>
    <w:rsid w:val="00691A79"/>
    <w:rsid w:val="00691E94"/>
    <w:rsid w:val="006921F0"/>
    <w:rsid w:val="006924F1"/>
    <w:rsid w:val="006929F8"/>
    <w:rsid w:val="00692B80"/>
    <w:rsid w:val="00692D85"/>
    <w:rsid w:val="00693C54"/>
    <w:rsid w:val="00693D0C"/>
    <w:rsid w:val="00693DEA"/>
    <w:rsid w:val="00693EE7"/>
    <w:rsid w:val="00693F4F"/>
    <w:rsid w:val="00693F9B"/>
    <w:rsid w:val="00694373"/>
    <w:rsid w:val="00694624"/>
    <w:rsid w:val="00695226"/>
    <w:rsid w:val="00695607"/>
    <w:rsid w:val="006956C0"/>
    <w:rsid w:val="006958D6"/>
    <w:rsid w:val="00695A01"/>
    <w:rsid w:val="00696043"/>
    <w:rsid w:val="0069618C"/>
    <w:rsid w:val="006964E3"/>
    <w:rsid w:val="0069652C"/>
    <w:rsid w:val="0069661E"/>
    <w:rsid w:val="00697318"/>
    <w:rsid w:val="00697E1D"/>
    <w:rsid w:val="00697FD2"/>
    <w:rsid w:val="006A0298"/>
    <w:rsid w:val="006A06EF"/>
    <w:rsid w:val="006A0B7D"/>
    <w:rsid w:val="006A0C49"/>
    <w:rsid w:val="006A11AD"/>
    <w:rsid w:val="006A1A34"/>
    <w:rsid w:val="006A1CA1"/>
    <w:rsid w:val="006A1E79"/>
    <w:rsid w:val="006A1F7A"/>
    <w:rsid w:val="006A212F"/>
    <w:rsid w:val="006A2320"/>
    <w:rsid w:val="006A3144"/>
    <w:rsid w:val="006A31BE"/>
    <w:rsid w:val="006A3327"/>
    <w:rsid w:val="006A3713"/>
    <w:rsid w:val="006A384C"/>
    <w:rsid w:val="006A410A"/>
    <w:rsid w:val="006A41B1"/>
    <w:rsid w:val="006A4AB6"/>
    <w:rsid w:val="006A67B6"/>
    <w:rsid w:val="006A6A0F"/>
    <w:rsid w:val="006A6E1A"/>
    <w:rsid w:val="006A6E70"/>
    <w:rsid w:val="006A7168"/>
    <w:rsid w:val="006A756E"/>
    <w:rsid w:val="006A75F4"/>
    <w:rsid w:val="006B06E4"/>
    <w:rsid w:val="006B082B"/>
    <w:rsid w:val="006B0A59"/>
    <w:rsid w:val="006B0EC1"/>
    <w:rsid w:val="006B0FE7"/>
    <w:rsid w:val="006B12E9"/>
    <w:rsid w:val="006B1486"/>
    <w:rsid w:val="006B1594"/>
    <w:rsid w:val="006B1DEE"/>
    <w:rsid w:val="006B1FEB"/>
    <w:rsid w:val="006B25FE"/>
    <w:rsid w:val="006B289C"/>
    <w:rsid w:val="006B2D6F"/>
    <w:rsid w:val="006B33A2"/>
    <w:rsid w:val="006B3754"/>
    <w:rsid w:val="006B3B66"/>
    <w:rsid w:val="006B3C54"/>
    <w:rsid w:val="006B4D77"/>
    <w:rsid w:val="006B4D84"/>
    <w:rsid w:val="006B53A2"/>
    <w:rsid w:val="006B56EB"/>
    <w:rsid w:val="006B5B9A"/>
    <w:rsid w:val="006B6C94"/>
    <w:rsid w:val="006B70E7"/>
    <w:rsid w:val="006B7AE2"/>
    <w:rsid w:val="006B7C7A"/>
    <w:rsid w:val="006B7DF9"/>
    <w:rsid w:val="006C094D"/>
    <w:rsid w:val="006C1381"/>
    <w:rsid w:val="006C14BE"/>
    <w:rsid w:val="006C1BEC"/>
    <w:rsid w:val="006C1D1C"/>
    <w:rsid w:val="006C23B7"/>
    <w:rsid w:val="006C2677"/>
    <w:rsid w:val="006C2DB9"/>
    <w:rsid w:val="006C2E6F"/>
    <w:rsid w:val="006C36F9"/>
    <w:rsid w:val="006C3912"/>
    <w:rsid w:val="006C3BCF"/>
    <w:rsid w:val="006C3D62"/>
    <w:rsid w:val="006C3FF5"/>
    <w:rsid w:val="006C4530"/>
    <w:rsid w:val="006C49BB"/>
    <w:rsid w:val="006C4F26"/>
    <w:rsid w:val="006C50C3"/>
    <w:rsid w:val="006C5CC5"/>
    <w:rsid w:val="006C5E6E"/>
    <w:rsid w:val="006C5F6C"/>
    <w:rsid w:val="006C64F8"/>
    <w:rsid w:val="006C6D6B"/>
    <w:rsid w:val="006C7062"/>
    <w:rsid w:val="006C71AC"/>
    <w:rsid w:val="006C75A4"/>
    <w:rsid w:val="006C7D06"/>
    <w:rsid w:val="006C7E0E"/>
    <w:rsid w:val="006D01FA"/>
    <w:rsid w:val="006D0A2C"/>
    <w:rsid w:val="006D0CC9"/>
    <w:rsid w:val="006D0E3D"/>
    <w:rsid w:val="006D13C8"/>
    <w:rsid w:val="006D1DC4"/>
    <w:rsid w:val="006D1F7C"/>
    <w:rsid w:val="006D23B2"/>
    <w:rsid w:val="006D3155"/>
    <w:rsid w:val="006D31FF"/>
    <w:rsid w:val="006D33E7"/>
    <w:rsid w:val="006D3AC6"/>
    <w:rsid w:val="006D3DA2"/>
    <w:rsid w:val="006D3FDF"/>
    <w:rsid w:val="006D40FF"/>
    <w:rsid w:val="006D42D5"/>
    <w:rsid w:val="006D4355"/>
    <w:rsid w:val="006D4AE0"/>
    <w:rsid w:val="006D4C67"/>
    <w:rsid w:val="006D4EB4"/>
    <w:rsid w:val="006D6253"/>
    <w:rsid w:val="006D62DC"/>
    <w:rsid w:val="006D64D1"/>
    <w:rsid w:val="006D6542"/>
    <w:rsid w:val="006D68A6"/>
    <w:rsid w:val="006D6A0E"/>
    <w:rsid w:val="006D6A6D"/>
    <w:rsid w:val="006D7A75"/>
    <w:rsid w:val="006D7ABF"/>
    <w:rsid w:val="006D7B96"/>
    <w:rsid w:val="006D7DEA"/>
    <w:rsid w:val="006D7F67"/>
    <w:rsid w:val="006E019C"/>
    <w:rsid w:val="006E0235"/>
    <w:rsid w:val="006E041E"/>
    <w:rsid w:val="006E06D2"/>
    <w:rsid w:val="006E0870"/>
    <w:rsid w:val="006E0A1D"/>
    <w:rsid w:val="006E0A23"/>
    <w:rsid w:val="006E0F32"/>
    <w:rsid w:val="006E1489"/>
    <w:rsid w:val="006E187E"/>
    <w:rsid w:val="006E1AEB"/>
    <w:rsid w:val="006E1C2F"/>
    <w:rsid w:val="006E1DD8"/>
    <w:rsid w:val="006E2123"/>
    <w:rsid w:val="006E2251"/>
    <w:rsid w:val="006E2B4C"/>
    <w:rsid w:val="006E2EC0"/>
    <w:rsid w:val="006E3122"/>
    <w:rsid w:val="006E3C7A"/>
    <w:rsid w:val="006E3E7F"/>
    <w:rsid w:val="006E504B"/>
    <w:rsid w:val="006E5268"/>
    <w:rsid w:val="006E577F"/>
    <w:rsid w:val="006E5822"/>
    <w:rsid w:val="006E5E5E"/>
    <w:rsid w:val="006E676F"/>
    <w:rsid w:val="006E6B13"/>
    <w:rsid w:val="006E6C9F"/>
    <w:rsid w:val="006E779A"/>
    <w:rsid w:val="006E77DF"/>
    <w:rsid w:val="006E7866"/>
    <w:rsid w:val="006E79D5"/>
    <w:rsid w:val="006F13FC"/>
    <w:rsid w:val="006F1520"/>
    <w:rsid w:val="006F1775"/>
    <w:rsid w:val="006F18A4"/>
    <w:rsid w:val="006F1B28"/>
    <w:rsid w:val="006F1B7A"/>
    <w:rsid w:val="006F23CF"/>
    <w:rsid w:val="006F2462"/>
    <w:rsid w:val="006F24F1"/>
    <w:rsid w:val="006F2AAD"/>
    <w:rsid w:val="006F2C7E"/>
    <w:rsid w:val="006F2EAF"/>
    <w:rsid w:val="006F3123"/>
    <w:rsid w:val="006F326D"/>
    <w:rsid w:val="006F3460"/>
    <w:rsid w:val="006F3587"/>
    <w:rsid w:val="006F37B5"/>
    <w:rsid w:val="006F3833"/>
    <w:rsid w:val="006F3B38"/>
    <w:rsid w:val="006F3DAB"/>
    <w:rsid w:val="006F4467"/>
    <w:rsid w:val="006F534D"/>
    <w:rsid w:val="006F54AE"/>
    <w:rsid w:val="006F599B"/>
    <w:rsid w:val="006F5C53"/>
    <w:rsid w:val="006F5EF0"/>
    <w:rsid w:val="006F62A7"/>
    <w:rsid w:val="006F7162"/>
    <w:rsid w:val="006F7396"/>
    <w:rsid w:val="0070084E"/>
    <w:rsid w:val="00700919"/>
    <w:rsid w:val="00700AE9"/>
    <w:rsid w:val="00700BBB"/>
    <w:rsid w:val="00700BFC"/>
    <w:rsid w:val="00700C81"/>
    <w:rsid w:val="00700C84"/>
    <w:rsid w:val="00700F9C"/>
    <w:rsid w:val="007010C6"/>
    <w:rsid w:val="00701163"/>
    <w:rsid w:val="0070168C"/>
    <w:rsid w:val="007016A9"/>
    <w:rsid w:val="007017C8"/>
    <w:rsid w:val="007017E1"/>
    <w:rsid w:val="00701807"/>
    <w:rsid w:val="007019A0"/>
    <w:rsid w:val="00701DB6"/>
    <w:rsid w:val="007022D6"/>
    <w:rsid w:val="007024AD"/>
    <w:rsid w:val="00703873"/>
    <w:rsid w:val="00704080"/>
    <w:rsid w:val="0070518F"/>
    <w:rsid w:val="0070520E"/>
    <w:rsid w:val="00705276"/>
    <w:rsid w:val="00705985"/>
    <w:rsid w:val="00705A54"/>
    <w:rsid w:val="007064E7"/>
    <w:rsid w:val="00706629"/>
    <w:rsid w:val="00706890"/>
    <w:rsid w:val="00706E05"/>
    <w:rsid w:val="00707255"/>
    <w:rsid w:val="007075FA"/>
    <w:rsid w:val="00707972"/>
    <w:rsid w:val="00707E7A"/>
    <w:rsid w:val="007100A7"/>
    <w:rsid w:val="00710167"/>
    <w:rsid w:val="007101F4"/>
    <w:rsid w:val="0071067F"/>
    <w:rsid w:val="00710697"/>
    <w:rsid w:val="007109D1"/>
    <w:rsid w:val="00710FFA"/>
    <w:rsid w:val="00711181"/>
    <w:rsid w:val="0071206A"/>
    <w:rsid w:val="00712564"/>
    <w:rsid w:val="00712739"/>
    <w:rsid w:val="00712BB5"/>
    <w:rsid w:val="00712BE8"/>
    <w:rsid w:val="007135DC"/>
    <w:rsid w:val="0071360E"/>
    <w:rsid w:val="00713B52"/>
    <w:rsid w:val="00713C1C"/>
    <w:rsid w:val="00713F5B"/>
    <w:rsid w:val="00714310"/>
    <w:rsid w:val="007147D5"/>
    <w:rsid w:val="007147F9"/>
    <w:rsid w:val="00714B5F"/>
    <w:rsid w:val="00715139"/>
    <w:rsid w:val="0071529B"/>
    <w:rsid w:val="00715314"/>
    <w:rsid w:val="00715B84"/>
    <w:rsid w:val="00715C31"/>
    <w:rsid w:val="00716005"/>
    <w:rsid w:val="00716046"/>
    <w:rsid w:val="00716360"/>
    <w:rsid w:val="0071691E"/>
    <w:rsid w:val="00716DFF"/>
    <w:rsid w:val="0071725A"/>
    <w:rsid w:val="00717558"/>
    <w:rsid w:val="00717673"/>
    <w:rsid w:val="00720294"/>
    <w:rsid w:val="007202CF"/>
    <w:rsid w:val="00720450"/>
    <w:rsid w:val="0072063F"/>
    <w:rsid w:val="007208D7"/>
    <w:rsid w:val="00720FF6"/>
    <w:rsid w:val="00721281"/>
    <w:rsid w:val="00721294"/>
    <w:rsid w:val="0072152B"/>
    <w:rsid w:val="00721CCB"/>
    <w:rsid w:val="007235F4"/>
    <w:rsid w:val="00723B75"/>
    <w:rsid w:val="00724008"/>
    <w:rsid w:val="007243DF"/>
    <w:rsid w:val="0072441A"/>
    <w:rsid w:val="00724632"/>
    <w:rsid w:val="007249D8"/>
    <w:rsid w:val="007253EC"/>
    <w:rsid w:val="00725599"/>
    <w:rsid w:val="007257F2"/>
    <w:rsid w:val="00725964"/>
    <w:rsid w:val="00725A05"/>
    <w:rsid w:val="00725E38"/>
    <w:rsid w:val="00725FD9"/>
    <w:rsid w:val="007262B1"/>
    <w:rsid w:val="007262E8"/>
    <w:rsid w:val="00726301"/>
    <w:rsid w:val="007264C6"/>
    <w:rsid w:val="00726A84"/>
    <w:rsid w:val="00726D10"/>
    <w:rsid w:val="00727416"/>
    <w:rsid w:val="007274E4"/>
    <w:rsid w:val="00727BBC"/>
    <w:rsid w:val="00727D7D"/>
    <w:rsid w:val="00727FB6"/>
    <w:rsid w:val="0073035F"/>
    <w:rsid w:val="0073037C"/>
    <w:rsid w:val="00730538"/>
    <w:rsid w:val="00730A0E"/>
    <w:rsid w:val="00731140"/>
    <w:rsid w:val="00731162"/>
    <w:rsid w:val="00731C6E"/>
    <w:rsid w:val="007326A0"/>
    <w:rsid w:val="00732F17"/>
    <w:rsid w:val="00733075"/>
    <w:rsid w:val="007331A8"/>
    <w:rsid w:val="00733431"/>
    <w:rsid w:val="00733766"/>
    <w:rsid w:val="00733E95"/>
    <w:rsid w:val="00733F78"/>
    <w:rsid w:val="007340B3"/>
    <w:rsid w:val="007346A7"/>
    <w:rsid w:val="00734DA8"/>
    <w:rsid w:val="00734F41"/>
    <w:rsid w:val="00735397"/>
    <w:rsid w:val="0073576B"/>
    <w:rsid w:val="00735CA2"/>
    <w:rsid w:val="00736066"/>
    <w:rsid w:val="00736484"/>
    <w:rsid w:val="007367C3"/>
    <w:rsid w:val="00736C2D"/>
    <w:rsid w:val="007371BB"/>
    <w:rsid w:val="0073770C"/>
    <w:rsid w:val="00737788"/>
    <w:rsid w:val="00737A59"/>
    <w:rsid w:val="007402AC"/>
    <w:rsid w:val="007402C3"/>
    <w:rsid w:val="0074035C"/>
    <w:rsid w:val="00740489"/>
    <w:rsid w:val="00740AA2"/>
    <w:rsid w:val="00740C2C"/>
    <w:rsid w:val="00740CA6"/>
    <w:rsid w:val="00741106"/>
    <w:rsid w:val="00741216"/>
    <w:rsid w:val="0074144C"/>
    <w:rsid w:val="00741540"/>
    <w:rsid w:val="007417B4"/>
    <w:rsid w:val="0074184B"/>
    <w:rsid w:val="00742066"/>
    <w:rsid w:val="0074255F"/>
    <w:rsid w:val="00742F46"/>
    <w:rsid w:val="00743228"/>
    <w:rsid w:val="007432A7"/>
    <w:rsid w:val="007434C5"/>
    <w:rsid w:val="00743C26"/>
    <w:rsid w:val="00743DA5"/>
    <w:rsid w:val="0074419B"/>
    <w:rsid w:val="00744BD6"/>
    <w:rsid w:val="00744C46"/>
    <w:rsid w:val="0074556F"/>
    <w:rsid w:val="0074575F"/>
    <w:rsid w:val="0074583B"/>
    <w:rsid w:val="00745D6C"/>
    <w:rsid w:val="00746809"/>
    <w:rsid w:val="007474C3"/>
    <w:rsid w:val="007477B3"/>
    <w:rsid w:val="00747EAA"/>
    <w:rsid w:val="0075030B"/>
    <w:rsid w:val="00750460"/>
    <w:rsid w:val="0075063D"/>
    <w:rsid w:val="007507CD"/>
    <w:rsid w:val="00750A5A"/>
    <w:rsid w:val="00750DB5"/>
    <w:rsid w:val="007511D7"/>
    <w:rsid w:val="007517BA"/>
    <w:rsid w:val="007518AB"/>
    <w:rsid w:val="00751FD8"/>
    <w:rsid w:val="00752F2E"/>
    <w:rsid w:val="00753250"/>
    <w:rsid w:val="00753358"/>
    <w:rsid w:val="00754734"/>
    <w:rsid w:val="0075654A"/>
    <w:rsid w:val="00756964"/>
    <w:rsid w:val="00756CD0"/>
    <w:rsid w:val="00756FAF"/>
    <w:rsid w:val="0075758C"/>
    <w:rsid w:val="0075768D"/>
    <w:rsid w:val="00757B62"/>
    <w:rsid w:val="00760088"/>
    <w:rsid w:val="007601B2"/>
    <w:rsid w:val="007611BD"/>
    <w:rsid w:val="00761345"/>
    <w:rsid w:val="00761661"/>
    <w:rsid w:val="00762CC4"/>
    <w:rsid w:val="00762FCE"/>
    <w:rsid w:val="00763518"/>
    <w:rsid w:val="0076377A"/>
    <w:rsid w:val="00763AE6"/>
    <w:rsid w:val="00763B78"/>
    <w:rsid w:val="00763D1D"/>
    <w:rsid w:val="00763DF5"/>
    <w:rsid w:val="00764561"/>
    <w:rsid w:val="007648AA"/>
    <w:rsid w:val="00764956"/>
    <w:rsid w:val="00764A37"/>
    <w:rsid w:val="00765087"/>
    <w:rsid w:val="007653CC"/>
    <w:rsid w:val="0076565B"/>
    <w:rsid w:val="007657C2"/>
    <w:rsid w:val="0076580A"/>
    <w:rsid w:val="007658C9"/>
    <w:rsid w:val="00765BBC"/>
    <w:rsid w:val="00765C21"/>
    <w:rsid w:val="0076661E"/>
    <w:rsid w:val="00766B89"/>
    <w:rsid w:val="00766EC1"/>
    <w:rsid w:val="00766F3E"/>
    <w:rsid w:val="00766F3F"/>
    <w:rsid w:val="00767679"/>
    <w:rsid w:val="00767BF4"/>
    <w:rsid w:val="00767C1E"/>
    <w:rsid w:val="00767E38"/>
    <w:rsid w:val="00770145"/>
    <w:rsid w:val="007702C8"/>
    <w:rsid w:val="00770404"/>
    <w:rsid w:val="00770751"/>
    <w:rsid w:val="00770925"/>
    <w:rsid w:val="00770A20"/>
    <w:rsid w:val="00770AF4"/>
    <w:rsid w:val="00770D05"/>
    <w:rsid w:val="00770F3D"/>
    <w:rsid w:val="00771381"/>
    <w:rsid w:val="007713D3"/>
    <w:rsid w:val="00771625"/>
    <w:rsid w:val="007719CC"/>
    <w:rsid w:val="007721D7"/>
    <w:rsid w:val="00772F22"/>
    <w:rsid w:val="00773985"/>
    <w:rsid w:val="00773F2F"/>
    <w:rsid w:val="007746A4"/>
    <w:rsid w:val="00774919"/>
    <w:rsid w:val="00774B21"/>
    <w:rsid w:val="00774B5A"/>
    <w:rsid w:val="00774BD9"/>
    <w:rsid w:val="00775265"/>
    <w:rsid w:val="007755F5"/>
    <w:rsid w:val="00775AE4"/>
    <w:rsid w:val="007763D2"/>
    <w:rsid w:val="00776454"/>
    <w:rsid w:val="007770CE"/>
    <w:rsid w:val="00777410"/>
    <w:rsid w:val="0077786F"/>
    <w:rsid w:val="00777A7A"/>
    <w:rsid w:val="00777AB5"/>
    <w:rsid w:val="00777AD9"/>
    <w:rsid w:val="00777E8C"/>
    <w:rsid w:val="00780466"/>
    <w:rsid w:val="00780793"/>
    <w:rsid w:val="00780BAE"/>
    <w:rsid w:val="00780F9C"/>
    <w:rsid w:val="00781C53"/>
    <w:rsid w:val="00781EFA"/>
    <w:rsid w:val="00781FB3"/>
    <w:rsid w:val="00782CEA"/>
    <w:rsid w:val="00783090"/>
    <w:rsid w:val="00783B9E"/>
    <w:rsid w:val="00783D8D"/>
    <w:rsid w:val="00783E53"/>
    <w:rsid w:val="007843D2"/>
    <w:rsid w:val="00784B58"/>
    <w:rsid w:val="007854B1"/>
    <w:rsid w:val="0078669F"/>
    <w:rsid w:val="0078691F"/>
    <w:rsid w:val="00787D2D"/>
    <w:rsid w:val="00787E40"/>
    <w:rsid w:val="0079039A"/>
    <w:rsid w:val="007905C9"/>
    <w:rsid w:val="00790853"/>
    <w:rsid w:val="007911F0"/>
    <w:rsid w:val="0079143F"/>
    <w:rsid w:val="0079169E"/>
    <w:rsid w:val="00791D8F"/>
    <w:rsid w:val="00791DA8"/>
    <w:rsid w:val="0079276F"/>
    <w:rsid w:val="00792916"/>
    <w:rsid w:val="0079298D"/>
    <w:rsid w:val="00792B10"/>
    <w:rsid w:val="00792C36"/>
    <w:rsid w:val="0079313A"/>
    <w:rsid w:val="00793263"/>
    <w:rsid w:val="00793BB3"/>
    <w:rsid w:val="00794154"/>
    <w:rsid w:val="00794447"/>
    <w:rsid w:val="00794615"/>
    <w:rsid w:val="00794806"/>
    <w:rsid w:val="00794E60"/>
    <w:rsid w:val="00794F37"/>
    <w:rsid w:val="00795227"/>
    <w:rsid w:val="0079567A"/>
    <w:rsid w:val="00795739"/>
    <w:rsid w:val="0079576D"/>
    <w:rsid w:val="00795C48"/>
    <w:rsid w:val="00795DB8"/>
    <w:rsid w:val="007961B9"/>
    <w:rsid w:val="007961FC"/>
    <w:rsid w:val="0079623D"/>
    <w:rsid w:val="007963C1"/>
    <w:rsid w:val="0079646C"/>
    <w:rsid w:val="007964A8"/>
    <w:rsid w:val="00796593"/>
    <w:rsid w:val="00796DF8"/>
    <w:rsid w:val="0079786A"/>
    <w:rsid w:val="007A007B"/>
    <w:rsid w:val="007A04A8"/>
    <w:rsid w:val="007A07AA"/>
    <w:rsid w:val="007A097C"/>
    <w:rsid w:val="007A0BB4"/>
    <w:rsid w:val="007A1859"/>
    <w:rsid w:val="007A216A"/>
    <w:rsid w:val="007A2336"/>
    <w:rsid w:val="007A305B"/>
    <w:rsid w:val="007A33E4"/>
    <w:rsid w:val="007A39D6"/>
    <w:rsid w:val="007A5A4F"/>
    <w:rsid w:val="007A5C81"/>
    <w:rsid w:val="007A610C"/>
    <w:rsid w:val="007A654D"/>
    <w:rsid w:val="007A69B2"/>
    <w:rsid w:val="007A6B10"/>
    <w:rsid w:val="007A6B72"/>
    <w:rsid w:val="007A7011"/>
    <w:rsid w:val="007A72CA"/>
    <w:rsid w:val="007A72E1"/>
    <w:rsid w:val="007A7390"/>
    <w:rsid w:val="007A7424"/>
    <w:rsid w:val="007A748E"/>
    <w:rsid w:val="007A75F0"/>
    <w:rsid w:val="007A7707"/>
    <w:rsid w:val="007A7989"/>
    <w:rsid w:val="007A7E0D"/>
    <w:rsid w:val="007B05A0"/>
    <w:rsid w:val="007B0CB3"/>
    <w:rsid w:val="007B0CBE"/>
    <w:rsid w:val="007B0D2E"/>
    <w:rsid w:val="007B16F5"/>
    <w:rsid w:val="007B173B"/>
    <w:rsid w:val="007B183F"/>
    <w:rsid w:val="007B1AA8"/>
    <w:rsid w:val="007B1C61"/>
    <w:rsid w:val="007B2004"/>
    <w:rsid w:val="007B24E4"/>
    <w:rsid w:val="007B2519"/>
    <w:rsid w:val="007B2C08"/>
    <w:rsid w:val="007B2C69"/>
    <w:rsid w:val="007B2DA8"/>
    <w:rsid w:val="007B2E2A"/>
    <w:rsid w:val="007B3457"/>
    <w:rsid w:val="007B37C1"/>
    <w:rsid w:val="007B396C"/>
    <w:rsid w:val="007B4025"/>
    <w:rsid w:val="007B4166"/>
    <w:rsid w:val="007B4200"/>
    <w:rsid w:val="007B4427"/>
    <w:rsid w:val="007B4619"/>
    <w:rsid w:val="007B4764"/>
    <w:rsid w:val="007B4F2F"/>
    <w:rsid w:val="007B516D"/>
    <w:rsid w:val="007B5331"/>
    <w:rsid w:val="007B5780"/>
    <w:rsid w:val="007B5DF8"/>
    <w:rsid w:val="007B6181"/>
    <w:rsid w:val="007B626A"/>
    <w:rsid w:val="007B6661"/>
    <w:rsid w:val="007B6C1B"/>
    <w:rsid w:val="007B76F5"/>
    <w:rsid w:val="007B7F21"/>
    <w:rsid w:val="007B7F28"/>
    <w:rsid w:val="007B7FE2"/>
    <w:rsid w:val="007C0029"/>
    <w:rsid w:val="007C0432"/>
    <w:rsid w:val="007C0D21"/>
    <w:rsid w:val="007C117B"/>
    <w:rsid w:val="007C15F0"/>
    <w:rsid w:val="007C1653"/>
    <w:rsid w:val="007C20CD"/>
    <w:rsid w:val="007C20D8"/>
    <w:rsid w:val="007C21BC"/>
    <w:rsid w:val="007C2317"/>
    <w:rsid w:val="007C2399"/>
    <w:rsid w:val="007C267B"/>
    <w:rsid w:val="007C27DD"/>
    <w:rsid w:val="007C286C"/>
    <w:rsid w:val="007C2C05"/>
    <w:rsid w:val="007C2CE3"/>
    <w:rsid w:val="007C3242"/>
    <w:rsid w:val="007C3881"/>
    <w:rsid w:val="007C3E86"/>
    <w:rsid w:val="007C4093"/>
    <w:rsid w:val="007C40C8"/>
    <w:rsid w:val="007C48BF"/>
    <w:rsid w:val="007C495F"/>
    <w:rsid w:val="007C4E79"/>
    <w:rsid w:val="007C58DD"/>
    <w:rsid w:val="007C5F03"/>
    <w:rsid w:val="007C5F12"/>
    <w:rsid w:val="007C6022"/>
    <w:rsid w:val="007C6865"/>
    <w:rsid w:val="007C6F89"/>
    <w:rsid w:val="007C719F"/>
    <w:rsid w:val="007C730C"/>
    <w:rsid w:val="007D00E6"/>
    <w:rsid w:val="007D0349"/>
    <w:rsid w:val="007D0F36"/>
    <w:rsid w:val="007D1102"/>
    <w:rsid w:val="007D1294"/>
    <w:rsid w:val="007D12C8"/>
    <w:rsid w:val="007D164D"/>
    <w:rsid w:val="007D1717"/>
    <w:rsid w:val="007D1A93"/>
    <w:rsid w:val="007D1EBC"/>
    <w:rsid w:val="007D219C"/>
    <w:rsid w:val="007D2707"/>
    <w:rsid w:val="007D2978"/>
    <w:rsid w:val="007D2BC0"/>
    <w:rsid w:val="007D2F87"/>
    <w:rsid w:val="007D326F"/>
    <w:rsid w:val="007D37F1"/>
    <w:rsid w:val="007D38F1"/>
    <w:rsid w:val="007D43F1"/>
    <w:rsid w:val="007D4688"/>
    <w:rsid w:val="007D4765"/>
    <w:rsid w:val="007D53D4"/>
    <w:rsid w:val="007D57FD"/>
    <w:rsid w:val="007D59AA"/>
    <w:rsid w:val="007D59B4"/>
    <w:rsid w:val="007D5A60"/>
    <w:rsid w:val="007D6196"/>
    <w:rsid w:val="007D6692"/>
    <w:rsid w:val="007D694C"/>
    <w:rsid w:val="007D6FCC"/>
    <w:rsid w:val="007D71FE"/>
    <w:rsid w:val="007D7365"/>
    <w:rsid w:val="007D7D37"/>
    <w:rsid w:val="007E082E"/>
    <w:rsid w:val="007E0A38"/>
    <w:rsid w:val="007E0E72"/>
    <w:rsid w:val="007E1584"/>
    <w:rsid w:val="007E161A"/>
    <w:rsid w:val="007E184C"/>
    <w:rsid w:val="007E1D8A"/>
    <w:rsid w:val="007E227D"/>
    <w:rsid w:val="007E27B0"/>
    <w:rsid w:val="007E29E1"/>
    <w:rsid w:val="007E2ECE"/>
    <w:rsid w:val="007E31B7"/>
    <w:rsid w:val="007E332C"/>
    <w:rsid w:val="007E3532"/>
    <w:rsid w:val="007E375B"/>
    <w:rsid w:val="007E3877"/>
    <w:rsid w:val="007E3A40"/>
    <w:rsid w:val="007E3B27"/>
    <w:rsid w:val="007E3E67"/>
    <w:rsid w:val="007E43CB"/>
    <w:rsid w:val="007E4975"/>
    <w:rsid w:val="007E5324"/>
    <w:rsid w:val="007E61F8"/>
    <w:rsid w:val="007E6C78"/>
    <w:rsid w:val="007E6E97"/>
    <w:rsid w:val="007E6FE7"/>
    <w:rsid w:val="007E7984"/>
    <w:rsid w:val="007E7ACC"/>
    <w:rsid w:val="007E7C1A"/>
    <w:rsid w:val="007F0175"/>
    <w:rsid w:val="007F01DC"/>
    <w:rsid w:val="007F0952"/>
    <w:rsid w:val="007F0A05"/>
    <w:rsid w:val="007F0BF9"/>
    <w:rsid w:val="007F0D61"/>
    <w:rsid w:val="007F10BD"/>
    <w:rsid w:val="007F11A9"/>
    <w:rsid w:val="007F15B5"/>
    <w:rsid w:val="007F1CA4"/>
    <w:rsid w:val="007F36F1"/>
    <w:rsid w:val="007F383B"/>
    <w:rsid w:val="007F407A"/>
    <w:rsid w:val="007F4711"/>
    <w:rsid w:val="007F54EA"/>
    <w:rsid w:val="007F55FE"/>
    <w:rsid w:val="007F59CF"/>
    <w:rsid w:val="007F61F2"/>
    <w:rsid w:val="007F65C9"/>
    <w:rsid w:val="007F6D46"/>
    <w:rsid w:val="007F715E"/>
    <w:rsid w:val="007F74A0"/>
    <w:rsid w:val="007F7869"/>
    <w:rsid w:val="007F7981"/>
    <w:rsid w:val="007F7BE7"/>
    <w:rsid w:val="00800017"/>
    <w:rsid w:val="00800B52"/>
    <w:rsid w:val="00801147"/>
    <w:rsid w:val="0080116B"/>
    <w:rsid w:val="00801341"/>
    <w:rsid w:val="00801638"/>
    <w:rsid w:val="008016C2"/>
    <w:rsid w:val="00801716"/>
    <w:rsid w:val="00801CE8"/>
    <w:rsid w:val="00801DC7"/>
    <w:rsid w:val="008026C5"/>
    <w:rsid w:val="0080277C"/>
    <w:rsid w:val="00802827"/>
    <w:rsid w:val="0080342D"/>
    <w:rsid w:val="00803475"/>
    <w:rsid w:val="008034A2"/>
    <w:rsid w:val="00803837"/>
    <w:rsid w:val="00803A0C"/>
    <w:rsid w:val="0080405C"/>
    <w:rsid w:val="00804224"/>
    <w:rsid w:val="00804A52"/>
    <w:rsid w:val="008052F3"/>
    <w:rsid w:val="00805EF9"/>
    <w:rsid w:val="00805FF5"/>
    <w:rsid w:val="008061FE"/>
    <w:rsid w:val="0080633D"/>
    <w:rsid w:val="008067A8"/>
    <w:rsid w:val="00806A47"/>
    <w:rsid w:val="00807E15"/>
    <w:rsid w:val="00807F1E"/>
    <w:rsid w:val="00810020"/>
    <w:rsid w:val="00810E8E"/>
    <w:rsid w:val="0081143D"/>
    <w:rsid w:val="008121C0"/>
    <w:rsid w:val="008123A4"/>
    <w:rsid w:val="00812445"/>
    <w:rsid w:val="008124D2"/>
    <w:rsid w:val="00812999"/>
    <w:rsid w:val="00812A89"/>
    <w:rsid w:val="00812CF0"/>
    <w:rsid w:val="00812D79"/>
    <w:rsid w:val="00812FCF"/>
    <w:rsid w:val="008133AE"/>
    <w:rsid w:val="00813516"/>
    <w:rsid w:val="00813812"/>
    <w:rsid w:val="00813C8E"/>
    <w:rsid w:val="00813CBE"/>
    <w:rsid w:val="008148A8"/>
    <w:rsid w:val="00815013"/>
    <w:rsid w:val="00817B22"/>
    <w:rsid w:val="00817BDF"/>
    <w:rsid w:val="00817C48"/>
    <w:rsid w:val="00817E9A"/>
    <w:rsid w:val="008205CE"/>
    <w:rsid w:val="0082091A"/>
    <w:rsid w:val="008209D4"/>
    <w:rsid w:val="00820C6F"/>
    <w:rsid w:val="008219B4"/>
    <w:rsid w:val="00821D4E"/>
    <w:rsid w:val="00822387"/>
    <w:rsid w:val="008228A5"/>
    <w:rsid w:val="00822D96"/>
    <w:rsid w:val="0082360A"/>
    <w:rsid w:val="008238EE"/>
    <w:rsid w:val="0082390D"/>
    <w:rsid w:val="008240A3"/>
    <w:rsid w:val="00824205"/>
    <w:rsid w:val="0082464C"/>
    <w:rsid w:val="00824D5C"/>
    <w:rsid w:val="00824F00"/>
    <w:rsid w:val="00824F76"/>
    <w:rsid w:val="00825215"/>
    <w:rsid w:val="008266A2"/>
    <w:rsid w:val="00826E58"/>
    <w:rsid w:val="00826E5C"/>
    <w:rsid w:val="0082713B"/>
    <w:rsid w:val="0082727B"/>
    <w:rsid w:val="00827CD4"/>
    <w:rsid w:val="00827DBA"/>
    <w:rsid w:val="00830B86"/>
    <w:rsid w:val="008312DF"/>
    <w:rsid w:val="0083131B"/>
    <w:rsid w:val="00831841"/>
    <w:rsid w:val="00831BC0"/>
    <w:rsid w:val="00832314"/>
    <w:rsid w:val="00832AFF"/>
    <w:rsid w:val="00832D8F"/>
    <w:rsid w:val="0083315D"/>
    <w:rsid w:val="00833299"/>
    <w:rsid w:val="008332A0"/>
    <w:rsid w:val="008335B7"/>
    <w:rsid w:val="0083367F"/>
    <w:rsid w:val="00833903"/>
    <w:rsid w:val="00833CEE"/>
    <w:rsid w:val="00833F43"/>
    <w:rsid w:val="00833F7D"/>
    <w:rsid w:val="008345D1"/>
    <w:rsid w:val="008347DF"/>
    <w:rsid w:val="00834C01"/>
    <w:rsid w:val="00834DF4"/>
    <w:rsid w:val="00835074"/>
    <w:rsid w:val="0083577A"/>
    <w:rsid w:val="00835815"/>
    <w:rsid w:val="00835D56"/>
    <w:rsid w:val="00835F1B"/>
    <w:rsid w:val="00835F43"/>
    <w:rsid w:val="00836842"/>
    <w:rsid w:val="008375B0"/>
    <w:rsid w:val="00837D08"/>
    <w:rsid w:val="00837E7A"/>
    <w:rsid w:val="00837F41"/>
    <w:rsid w:val="0083DE97"/>
    <w:rsid w:val="00840C5F"/>
    <w:rsid w:val="008410BF"/>
    <w:rsid w:val="008421BB"/>
    <w:rsid w:val="00842937"/>
    <w:rsid w:val="00842BAC"/>
    <w:rsid w:val="00843AFE"/>
    <w:rsid w:val="00843B41"/>
    <w:rsid w:val="00843F5C"/>
    <w:rsid w:val="008443A8"/>
    <w:rsid w:val="008445A1"/>
    <w:rsid w:val="0084466F"/>
    <w:rsid w:val="00844857"/>
    <w:rsid w:val="00844E15"/>
    <w:rsid w:val="00845DC4"/>
    <w:rsid w:val="00845FB6"/>
    <w:rsid w:val="0084611B"/>
    <w:rsid w:val="00846558"/>
    <w:rsid w:val="008466DE"/>
    <w:rsid w:val="0084682F"/>
    <w:rsid w:val="00846BB2"/>
    <w:rsid w:val="00846ED1"/>
    <w:rsid w:val="008472D1"/>
    <w:rsid w:val="00847CAE"/>
    <w:rsid w:val="00847D34"/>
    <w:rsid w:val="00847E42"/>
    <w:rsid w:val="008500AC"/>
    <w:rsid w:val="008503B9"/>
    <w:rsid w:val="00851705"/>
    <w:rsid w:val="0085188E"/>
    <w:rsid w:val="008519B7"/>
    <w:rsid w:val="00851B4D"/>
    <w:rsid w:val="00851F1B"/>
    <w:rsid w:val="00852170"/>
    <w:rsid w:val="00852577"/>
    <w:rsid w:val="00852B80"/>
    <w:rsid w:val="00852D7A"/>
    <w:rsid w:val="00853003"/>
    <w:rsid w:val="00853300"/>
    <w:rsid w:val="008533D3"/>
    <w:rsid w:val="00853453"/>
    <w:rsid w:val="00853581"/>
    <w:rsid w:val="008548D7"/>
    <w:rsid w:val="00854F3B"/>
    <w:rsid w:val="00855201"/>
    <w:rsid w:val="00855372"/>
    <w:rsid w:val="00855AE5"/>
    <w:rsid w:val="00855B40"/>
    <w:rsid w:val="00855CC8"/>
    <w:rsid w:val="00855CFB"/>
    <w:rsid w:val="00855E01"/>
    <w:rsid w:val="00855F27"/>
    <w:rsid w:val="0085607E"/>
    <w:rsid w:val="008563C0"/>
    <w:rsid w:val="00856969"/>
    <w:rsid w:val="00856F8E"/>
    <w:rsid w:val="008570DD"/>
    <w:rsid w:val="0085747A"/>
    <w:rsid w:val="00860256"/>
    <w:rsid w:val="00860661"/>
    <w:rsid w:val="0086109D"/>
    <w:rsid w:val="008615A2"/>
    <w:rsid w:val="008615F2"/>
    <w:rsid w:val="00861719"/>
    <w:rsid w:val="008619F3"/>
    <w:rsid w:val="00862422"/>
    <w:rsid w:val="00862972"/>
    <w:rsid w:val="00862ABA"/>
    <w:rsid w:val="00862B9A"/>
    <w:rsid w:val="00862C9D"/>
    <w:rsid w:val="00862DA5"/>
    <w:rsid w:val="00862EAF"/>
    <w:rsid w:val="00862FA3"/>
    <w:rsid w:val="0086343D"/>
    <w:rsid w:val="00863485"/>
    <w:rsid w:val="008634AC"/>
    <w:rsid w:val="00863A2D"/>
    <w:rsid w:val="00863EAA"/>
    <w:rsid w:val="0086455B"/>
    <w:rsid w:val="00864869"/>
    <w:rsid w:val="00864BC6"/>
    <w:rsid w:val="00864E89"/>
    <w:rsid w:val="008650F5"/>
    <w:rsid w:val="00865783"/>
    <w:rsid w:val="00865865"/>
    <w:rsid w:val="00865ABF"/>
    <w:rsid w:val="00865BEA"/>
    <w:rsid w:val="00865C30"/>
    <w:rsid w:val="00866239"/>
    <w:rsid w:val="00866E72"/>
    <w:rsid w:val="00866EA9"/>
    <w:rsid w:val="008674B8"/>
    <w:rsid w:val="00867613"/>
    <w:rsid w:val="00867C1F"/>
    <w:rsid w:val="00870341"/>
    <w:rsid w:val="00870C2E"/>
    <w:rsid w:val="00871404"/>
    <w:rsid w:val="0087161F"/>
    <w:rsid w:val="008717C0"/>
    <w:rsid w:val="0087192E"/>
    <w:rsid w:val="0087208C"/>
    <w:rsid w:val="00872766"/>
    <w:rsid w:val="0087311E"/>
    <w:rsid w:val="0087374F"/>
    <w:rsid w:val="00873A29"/>
    <w:rsid w:val="00873E6B"/>
    <w:rsid w:val="008741A1"/>
    <w:rsid w:val="0087468B"/>
    <w:rsid w:val="0087491D"/>
    <w:rsid w:val="00874D93"/>
    <w:rsid w:val="00874F58"/>
    <w:rsid w:val="00875BB5"/>
    <w:rsid w:val="0088031F"/>
    <w:rsid w:val="00880460"/>
    <w:rsid w:val="00880D3E"/>
    <w:rsid w:val="00880D45"/>
    <w:rsid w:val="008816E5"/>
    <w:rsid w:val="00881C9A"/>
    <w:rsid w:val="00882F2F"/>
    <w:rsid w:val="00883568"/>
    <w:rsid w:val="008837DD"/>
    <w:rsid w:val="00883D0E"/>
    <w:rsid w:val="00883EDC"/>
    <w:rsid w:val="00884488"/>
    <w:rsid w:val="008845BC"/>
    <w:rsid w:val="0088525F"/>
    <w:rsid w:val="008853DA"/>
    <w:rsid w:val="008856F3"/>
    <w:rsid w:val="00885B6D"/>
    <w:rsid w:val="00885C54"/>
    <w:rsid w:val="00886074"/>
    <w:rsid w:val="0088685D"/>
    <w:rsid w:val="00886ADA"/>
    <w:rsid w:val="00886C15"/>
    <w:rsid w:val="00887386"/>
    <w:rsid w:val="00890200"/>
    <w:rsid w:val="008903E3"/>
    <w:rsid w:val="00890AB8"/>
    <w:rsid w:val="00890AFC"/>
    <w:rsid w:val="008912F0"/>
    <w:rsid w:val="008932A5"/>
    <w:rsid w:val="0089406B"/>
    <w:rsid w:val="008942DC"/>
    <w:rsid w:val="008948ED"/>
    <w:rsid w:val="0089491E"/>
    <w:rsid w:val="00894941"/>
    <w:rsid w:val="00894A3F"/>
    <w:rsid w:val="00894B0B"/>
    <w:rsid w:val="00894DDF"/>
    <w:rsid w:val="00894E7B"/>
    <w:rsid w:val="00895103"/>
    <w:rsid w:val="0089528F"/>
    <w:rsid w:val="00895313"/>
    <w:rsid w:val="00895656"/>
    <w:rsid w:val="008966A5"/>
    <w:rsid w:val="00896722"/>
    <w:rsid w:val="008969AA"/>
    <w:rsid w:val="00896F37"/>
    <w:rsid w:val="00897873"/>
    <w:rsid w:val="008A087C"/>
    <w:rsid w:val="008A14F8"/>
    <w:rsid w:val="008A150C"/>
    <w:rsid w:val="008A1544"/>
    <w:rsid w:val="008A15AE"/>
    <w:rsid w:val="008A18D2"/>
    <w:rsid w:val="008A2691"/>
    <w:rsid w:val="008A285B"/>
    <w:rsid w:val="008A28D6"/>
    <w:rsid w:val="008A2A1B"/>
    <w:rsid w:val="008A2AB0"/>
    <w:rsid w:val="008A2ABB"/>
    <w:rsid w:val="008A2ED6"/>
    <w:rsid w:val="008A2F0C"/>
    <w:rsid w:val="008A337B"/>
    <w:rsid w:val="008A34D7"/>
    <w:rsid w:val="008A38DB"/>
    <w:rsid w:val="008A3CD8"/>
    <w:rsid w:val="008A3D5D"/>
    <w:rsid w:val="008A3F12"/>
    <w:rsid w:val="008A48DE"/>
    <w:rsid w:val="008A4A22"/>
    <w:rsid w:val="008A4C3F"/>
    <w:rsid w:val="008A4FEC"/>
    <w:rsid w:val="008A5A57"/>
    <w:rsid w:val="008A5A7D"/>
    <w:rsid w:val="008A5E0D"/>
    <w:rsid w:val="008A60DD"/>
    <w:rsid w:val="008A6348"/>
    <w:rsid w:val="008A68DF"/>
    <w:rsid w:val="008A6A85"/>
    <w:rsid w:val="008A6B02"/>
    <w:rsid w:val="008A6E84"/>
    <w:rsid w:val="008A7027"/>
    <w:rsid w:val="008A7317"/>
    <w:rsid w:val="008A752F"/>
    <w:rsid w:val="008A7781"/>
    <w:rsid w:val="008B0C44"/>
    <w:rsid w:val="008B0FC8"/>
    <w:rsid w:val="008B13C8"/>
    <w:rsid w:val="008B176F"/>
    <w:rsid w:val="008B203E"/>
    <w:rsid w:val="008B237A"/>
    <w:rsid w:val="008B2499"/>
    <w:rsid w:val="008B2936"/>
    <w:rsid w:val="008B2A47"/>
    <w:rsid w:val="008B30D6"/>
    <w:rsid w:val="008B333A"/>
    <w:rsid w:val="008B3719"/>
    <w:rsid w:val="008B3869"/>
    <w:rsid w:val="008B4060"/>
    <w:rsid w:val="008B42D3"/>
    <w:rsid w:val="008B50BE"/>
    <w:rsid w:val="008B5267"/>
    <w:rsid w:val="008B544F"/>
    <w:rsid w:val="008B5C08"/>
    <w:rsid w:val="008B5C7D"/>
    <w:rsid w:val="008B5CA1"/>
    <w:rsid w:val="008B5E0C"/>
    <w:rsid w:val="008B60AB"/>
    <w:rsid w:val="008B64F4"/>
    <w:rsid w:val="008B69F5"/>
    <w:rsid w:val="008B6D86"/>
    <w:rsid w:val="008B721A"/>
    <w:rsid w:val="008B7413"/>
    <w:rsid w:val="008B74A2"/>
    <w:rsid w:val="008B7690"/>
    <w:rsid w:val="008C0312"/>
    <w:rsid w:val="008C03B2"/>
    <w:rsid w:val="008C09BB"/>
    <w:rsid w:val="008C1152"/>
    <w:rsid w:val="008C1379"/>
    <w:rsid w:val="008C1864"/>
    <w:rsid w:val="008C1B1B"/>
    <w:rsid w:val="008C1B83"/>
    <w:rsid w:val="008C1C8B"/>
    <w:rsid w:val="008C1E12"/>
    <w:rsid w:val="008C2B45"/>
    <w:rsid w:val="008C3345"/>
    <w:rsid w:val="008C33EF"/>
    <w:rsid w:val="008C34A9"/>
    <w:rsid w:val="008C3765"/>
    <w:rsid w:val="008C38EB"/>
    <w:rsid w:val="008C3F5C"/>
    <w:rsid w:val="008C40F6"/>
    <w:rsid w:val="008C43BE"/>
    <w:rsid w:val="008C44E8"/>
    <w:rsid w:val="008C46B6"/>
    <w:rsid w:val="008C485D"/>
    <w:rsid w:val="008C4A4C"/>
    <w:rsid w:val="008C4AC2"/>
    <w:rsid w:val="008C4FF0"/>
    <w:rsid w:val="008C500F"/>
    <w:rsid w:val="008C54F8"/>
    <w:rsid w:val="008C56C6"/>
    <w:rsid w:val="008C56ED"/>
    <w:rsid w:val="008C5725"/>
    <w:rsid w:val="008C6103"/>
    <w:rsid w:val="008C63D0"/>
    <w:rsid w:val="008C666A"/>
    <w:rsid w:val="008C68CF"/>
    <w:rsid w:val="008C6B82"/>
    <w:rsid w:val="008C6BD2"/>
    <w:rsid w:val="008C6CB2"/>
    <w:rsid w:val="008C6F33"/>
    <w:rsid w:val="008C7340"/>
    <w:rsid w:val="008C79F4"/>
    <w:rsid w:val="008C7CF1"/>
    <w:rsid w:val="008C7DD4"/>
    <w:rsid w:val="008D0ACB"/>
    <w:rsid w:val="008D0D96"/>
    <w:rsid w:val="008D1E1C"/>
    <w:rsid w:val="008D1EBC"/>
    <w:rsid w:val="008D24EA"/>
    <w:rsid w:val="008D29E6"/>
    <w:rsid w:val="008D2D6D"/>
    <w:rsid w:val="008D2EE8"/>
    <w:rsid w:val="008D35A8"/>
    <w:rsid w:val="008D36B4"/>
    <w:rsid w:val="008D45E1"/>
    <w:rsid w:val="008D4872"/>
    <w:rsid w:val="008D4B61"/>
    <w:rsid w:val="008D53EA"/>
    <w:rsid w:val="008D596B"/>
    <w:rsid w:val="008D5CE4"/>
    <w:rsid w:val="008D6245"/>
    <w:rsid w:val="008D6685"/>
    <w:rsid w:val="008D6EE6"/>
    <w:rsid w:val="008D77A6"/>
    <w:rsid w:val="008D7947"/>
    <w:rsid w:val="008E0A12"/>
    <w:rsid w:val="008E0C6F"/>
    <w:rsid w:val="008E150F"/>
    <w:rsid w:val="008E18D5"/>
    <w:rsid w:val="008E19B1"/>
    <w:rsid w:val="008E1C1B"/>
    <w:rsid w:val="008E25E7"/>
    <w:rsid w:val="008E2E83"/>
    <w:rsid w:val="008E3DCC"/>
    <w:rsid w:val="008E40C3"/>
    <w:rsid w:val="008E4E43"/>
    <w:rsid w:val="008E4E94"/>
    <w:rsid w:val="008E5573"/>
    <w:rsid w:val="008E578F"/>
    <w:rsid w:val="008E5A4E"/>
    <w:rsid w:val="008E5F1E"/>
    <w:rsid w:val="008E6255"/>
    <w:rsid w:val="008E632D"/>
    <w:rsid w:val="008E6473"/>
    <w:rsid w:val="008E6B4E"/>
    <w:rsid w:val="008E774C"/>
    <w:rsid w:val="008E77D4"/>
    <w:rsid w:val="008E7E1F"/>
    <w:rsid w:val="008F046E"/>
    <w:rsid w:val="008F09F6"/>
    <w:rsid w:val="008F0C5D"/>
    <w:rsid w:val="008F0DEF"/>
    <w:rsid w:val="008F1481"/>
    <w:rsid w:val="008F15CB"/>
    <w:rsid w:val="008F1A10"/>
    <w:rsid w:val="008F1F1A"/>
    <w:rsid w:val="008F2397"/>
    <w:rsid w:val="008F241E"/>
    <w:rsid w:val="008F263A"/>
    <w:rsid w:val="008F2CFC"/>
    <w:rsid w:val="008F3510"/>
    <w:rsid w:val="008F43DB"/>
    <w:rsid w:val="008F451E"/>
    <w:rsid w:val="008F48D1"/>
    <w:rsid w:val="008F4B07"/>
    <w:rsid w:val="008F4FEC"/>
    <w:rsid w:val="008F59AC"/>
    <w:rsid w:val="008F5D11"/>
    <w:rsid w:val="008F5F5A"/>
    <w:rsid w:val="008F6040"/>
    <w:rsid w:val="008F6090"/>
    <w:rsid w:val="008F64C4"/>
    <w:rsid w:val="008F65BE"/>
    <w:rsid w:val="008F692C"/>
    <w:rsid w:val="008F6B89"/>
    <w:rsid w:val="008F7537"/>
    <w:rsid w:val="008F7E16"/>
    <w:rsid w:val="008F7F6F"/>
    <w:rsid w:val="00900817"/>
    <w:rsid w:val="0090082F"/>
    <w:rsid w:val="00900851"/>
    <w:rsid w:val="00900A13"/>
    <w:rsid w:val="00900BE3"/>
    <w:rsid w:val="00900C55"/>
    <w:rsid w:val="00901007"/>
    <w:rsid w:val="00901040"/>
    <w:rsid w:val="009011F8"/>
    <w:rsid w:val="009018D2"/>
    <w:rsid w:val="00902013"/>
    <w:rsid w:val="00902281"/>
    <w:rsid w:val="009022A3"/>
    <w:rsid w:val="009027B8"/>
    <w:rsid w:val="0090321A"/>
    <w:rsid w:val="00903A2E"/>
    <w:rsid w:val="00903C41"/>
    <w:rsid w:val="0090417D"/>
    <w:rsid w:val="0090452D"/>
    <w:rsid w:val="00905B64"/>
    <w:rsid w:val="00905BCB"/>
    <w:rsid w:val="00905F0B"/>
    <w:rsid w:val="00906062"/>
    <w:rsid w:val="00906369"/>
    <w:rsid w:val="009066D9"/>
    <w:rsid w:val="009068F9"/>
    <w:rsid w:val="009069BC"/>
    <w:rsid w:val="00906DC1"/>
    <w:rsid w:val="00907AB7"/>
    <w:rsid w:val="00907E72"/>
    <w:rsid w:val="009108DE"/>
    <w:rsid w:val="00910CAF"/>
    <w:rsid w:val="00910D02"/>
    <w:rsid w:val="009113D5"/>
    <w:rsid w:val="009116A7"/>
    <w:rsid w:val="00913003"/>
    <w:rsid w:val="0091368B"/>
    <w:rsid w:val="00913A60"/>
    <w:rsid w:val="00913B46"/>
    <w:rsid w:val="009142C1"/>
    <w:rsid w:val="00914337"/>
    <w:rsid w:val="00914D0C"/>
    <w:rsid w:val="00915593"/>
    <w:rsid w:val="00915706"/>
    <w:rsid w:val="0091582E"/>
    <w:rsid w:val="00916DD5"/>
    <w:rsid w:val="00916F67"/>
    <w:rsid w:val="00917508"/>
    <w:rsid w:val="00917642"/>
    <w:rsid w:val="00917E22"/>
    <w:rsid w:val="00917F9D"/>
    <w:rsid w:val="00920E29"/>
    <w:rsid w:val="0092132C"/>
    <w:rsid w:val="00921DBA"/>
    <w:rsid w:val="00921E0D"/>
    <w:rsid w:val="009221BB"/>
    <w:rsid w:val="0092258D"/>
    <w:rsid w:val="00922B3D"/>
    <w:rsid w:val="00922BBD"/>
    <w:rsid w:val="009232A5"/>
    <w:rsid w:val="00923A26"/>
    <w:rsid w:val="00923B9B"/>
    <w:rsid w:val="00923BE7"/>
    <w:rsid w:val="0092421D"/>
    <w:rsid w:val="00924C9D"/>
    <w:rsid w:val="00924F10"/>
    <w:rsid w:val="009254BA"/>
    <w:rsid w:val="009258E6"/>
    <w:rsid w:val="00925FE1"/>
    <w:rsid w:val="009261DF"/>
    <w:rsid w:val="009263C1"/>
    <w:rsid w:val="009269F8"/>
    <w:rsid w:val="00926E03"/>
    <w:rsid w:val="009272E1"/>
    <w:rsid w:val="00927476"/>
    <w:rsid w:val="009277C6"/>
    <w:rsid w:val="00927829"/>
    <w:rsid w:val="009301E6"/>
    <w:rsid w:val="009303C8"/>
    <w:rsid w:val="009304EC"/>
    <w:rsid w:val="009308C9"/>
    <w:rsid w:val="00930C54"/>
    <w:rsid w:val="009317F3"/>
    <w:rsid w:val="009318A0"/>
    <w:rsid w:val="00931D03"/>
    <w:rsid w:val="00931ED2"/>
    <w:rsid w:val="00931EEA"/>
    <w:rsid w:val="00932221"/>
    <w:rsid w:val="0093245B"/>
    <w:rsid w:val="00932889"/>
    <w:rsid w:val="00932AA1"/>
    <w:rsid w:val="009334DA"/>
    <w:rsid w:val="0093353D"/>
    <w:rsid w:val="00933685"/>
    <w:rsid w:val="00933B77"/>
    <w:rsid w:val="00933C1E"/>
    <w:rsid w:val="00933CB7"/>
    <w:rsid w:val="00933D83"/>
    <w:rsid w:val="00933E55"/>
    <w:rsid w:val="00933F79"/>
    <w:rsid w:val="00934677"/>
    <w:rsid w:val="009349D8"/>
    <w:rsid w:val="009349F3"/>
    <w:rsid w:val="00934EB2"/>
    <w:rsid w:val="0093548E"/>
    <w:rsid w:val="00935AAC"/>
    <w:rsid w:val="00935DF3"/>
    <w:rsid w:val="0093627A"/>
    <w:rsid w:val="00936284"/>
    <w:rsid w:val="00936672"/>
    <w:rsid w:val="00936E71"/>
    <w:rsid w:val="00936FE6"/>
    <w:rsid w:val="00937684"/>
    <w:rsid w:val="00937BB1"/>
    <w:rsid w:val="00937C0B"/>
    <w:rsid w:val="00940299"/>
    <w:rsid w:val="00940BEC"/>
    <w:rsid w:val="00940D1B"/>
    <w:rsid w:val="00940E08"/>
    <w:rsid w:val="009416E2"/>
    <w:rsid w:val="0094171D"/>
    <w:rsid w:val="009420A0"/>
    <w:rsid w:val="009425D4"/>
    <w:rsid w:val="009429AC"/>
    <w:rsid w:val="00942B6B"/>
    <w:rsid w:val="00942D2C"/>
    <w:rsid w:val="009432E5"/>
    <w:rsid w:val="009433F1"/>
    <w:rsid w:val="00943409"/>
    <w:rsid w:val="00943500"/>
    <w:rsid w:val="009435FF"/>
    <w:rsid w:val="00943C93"/>
    <w:rsid w:val="00943F60"/>
    <w:rsid w:val="0094400A"/>
    <w:rsid w:val="009445C9"/>
    <w:rsid w:val="009449BC"/>
    <w:rsid w:val="009449BF"/>
    <w:rsid w:val="00944E31"/>
    <w:rsid w:val="00945122"/>
    <w:rsid w:val="00945F79"/>
    <w:rsid w:val="00945F92"/>
    <w:rsid w:val="00946098"/>
    <w:rsid w:val="00946D67"/>
    <w:rsid w:val="009474C5"/>
    <w:rsid w:val="009475B4"/>
    <w:rsid w:val="00947E7C"/>
    <w:rsid w:val="00947F9A"/>
    <w:rsid w:val="0095019F"/>
    <w:rsid w:val="0095040C"/>
    <w:rsid w:val="009507E3"/>
    <w:rsid w:val="009507E5"/>
    <w:rsid w:val="0095080E"/>
    <w:rsid w:val="00950992"/>
    <w:rsid w:val="00950A98"/>
    <w:rsid w:val="00951009"/>
    <w:rsid w:val="009512E7"/>
    <w:rsid w:val="009522AE"/>
    <w:rsid w:val="009524C7"/>
    <w:rsid w:val="00952658"/>
    <w:rsid w:val="009530BA"/>
    <w:rsid w:val="00953194"/>
    <w:rsid w:val="009533DA"/>
    <w:rsid w:val="0095352C"/>
    <w:rsid w:val="00953E14"/>
    <w:rsid w:val="0095403B"/>
    <w:rsid w:val="0095444C"/>
    <w:rsid w:val="00954AE7"/>
    <w:rsid w:val="00954B00"/>
    <w:rsid w:val="00954CBB"/>
    <w:rsid w:val="00954EE8"/>
    <w:rsid w:val="0095523F"/>
    <w:rsid w:val="00955719"/>
    <w:rsid w:val="0095571D"/>
    <w:rsid w:val="00955919"/>
    <w:rsid w:val="00955998"/>
    <w:rsid w:val="00955C90"/>
    <w:rsid w:val="00955CDC"/>
    <w:rsid w:val="00955E1B"/>
    <w:rsid w:val="00955F48"/>
    <w:rsid w:val="00956150"/>
    <w:rsid w:val="0095638E"/>
    <w:rsid w:val="00956FBD"/>
    <w:rsid w:val="00957927"/>
    <w:rsid w:val="00960032"/>
    <w:rsid w:val="0096055D"/>
    <w:rsid w:val="00960C02"/>
    <w:rsid w:val="009616DA"/>
    <w:rsid w:val="00962032"/>
    <w:rsid w:val="0096285E"/>
    <w:rsid w:val="0096332E"/>
    <w:rsid w:val="009636C5"/>
    <w:rsid w:val="0096494A"/>
    <w:rsid w:val="00964C1A"/>
    <w:rsid w:val="00965381"/>
    <w:rsid w:val="00965697"/>
    <w:rsid w:val="00965B83"/>
    <w:rsid w:val="00965F1E"/>
    <w:rsid w:val="00966982"/>
    <w:rsid w:val="009669CB"/>
    <w:rsid w:val="00966CDA"/>
    <w:rsid w:val="00966E27"/>
    <w:rsid w:val="00967736"/>
    <w:rsid w:val="00970658"/>
    <w:rsid w:val="009706B1"/>
    <w:rsid w:val="00970863"/>
    <w:rsid w:val="009709F7"/>
    <w:rsid w:val="00970AA4"/>
    <w:rsid w:val="00970B0D"/>
    <w:rsid w:val="00970EC1"/>
    <w:rsid w:val="00971147"/>
    <w:rsid w:val="009711FE"/>
    <w:rsid w:val="009718A8"/>
    <w:rsid w:val="00971F68"/>
    <w:rsid w:val="009721BD"/>
    <w:rsid w:val="00972228"/>
    <w:rsid w:val="009722FE"/>
    <w:rsid w:val="00972553"/>
    <w:rsid w:val="009728DA"/>
    <w:rsid w:val="009728EE"/>
    <w:rsid w:val="00972971"/>
    <w:rsid w:val="00972DA9"/>
    <w:rsid w:val="00972F5F"/>
    <w:rsid w:val="009734C8"/>
    <w:rsid w:val="009735D6"/>
    <w:rsid w:val="00973799"/>
    <w:rsid w:val="009738D1"/>
    <w:rsid w:val="00973A6F"/>
    <w:rsid w:val="00973EDE"/>
    <w:rsid w:val="009742D3"/>
    <w:rsid w:val="009744C6"/>
    <w:rsid w:val="00974E7F"/>
    <w:rsid w:val="0097517F"/>
    <w:rsid w:val="0097581F"/>
    <w:rsid w:val="009766F8"/>
    <w:rsid w:val="0097677E"/>
    <w:rsid w:val="0097682A"/>
    <w:rsid w:val="00976B4F"/>
    <w:rsid w:val="00977A21"/>
    <w:rsid w:val="00977D17"/>
    <w:rsid w:val="00977DD4"/>
    <w:rsid w:val="00980489"/>
    <w:rsid w:val="0098055D"/>
    <w:rsid w:val="00980658"/>
    <w:rsid w:val="009808D9"/>
    <w:rsid w:val="00980B11"/>
    <w:rsid w:val="00980C12"/>
    <w:rsid w:val="009814C1"/>
    <w:rsid w:val="00981B08"/>
    <w:rsid w:val="00982AAD"/>
    <w:rsid w:val="00982B31"/>
    <w:rsid w:val="00982B9E"/>
    <w:rsid w:val="00982FCA"/>
    <w:rsid w:val="00983042"/>
    <w:rsid w:val="0098347E"/>
    <w:rsid w:val="00983D33"/>
    <w:rsid w:val="00983EB5"/>
    <w:rsid w:val="00983F7E"/>
    <w:rsid w:val="0098454E"/>
    <w:rsid w:val="009852C6"/>
    <w:rsid w:val="00985580"/>
    <w:rsid w:val="00985875"/>
    <w:rsid w:val="00985C83"/>
    <w:rsid w:val="00985D56"/>
    <w:rsid w:val="00985FEE"/>
    <w:rsid w:val="00987103"/>
    <w:rsid w:val="00987158"/>
    <w:rsid w:val="0098756E"/>
    <w:rsid w:val="00990361"/>
    <w:rsid w:val="00990576"/>
    <w:rsid w:val="009905B4"/>
    <w:rsid w:val="009910A4"/>
    <w:rsid w:val="0099176E"/>
    <w:rsid w:val="00991BAF"/>
    <w:rsid w:val="00991C09"/>
    <w:rsid w:val="009926BF"/>
    <w:rsid w:val="00992870"/>
    <w:rsid w:val="00992DC1"/>
    <w:rsid w:val="00992E33"/>
    <w:rsid w:val="0099303E"/>
    <w:rsid w:val="009934F6"/>
    <w:rsid w:val="009935AE"/>
    <w:rsid w:val="00993A24"/>
    <w:rsid w:val="00993BE3"/>
    <w:rsid w:val="00993C66"/>
    <w:rsid w:val="00993D78"/>
    <w:rsid w:val="00993E2E"/>
    <w:rsid w:val="00994957"/>
    <w:rsid w:val="00994A0E"/>
    <w:rsid w:val="00994AC6"/>
    <w:rsid w:val="00994F61"/>
    <w:rsid w:val="009959BF"/>
    <w:rsid w:val="00995BB3"/>
    <w:rsid w:val="00996235"/>
    <w:rsid w:val="009964A1"/>
    <w:rsid w:val="009964FF"/>
    <w:rsid w:val="00997895"/>
    <w:rsid w:val="00997D5E"/>
    <w:rsid w:val="00997E18"/>
    <w:rsid w:val="009A05DB"/>
    <w:rsid w:val="009A1ADD"/>
    <w:rsid w:val="009A1D83"/>
    <w:rsid w:val="009A2700"/>
    <w:rsid w:val="009A2DCC"/>
    <w:rsid w:val="009A3861"/>
    <w:rsid w:val="009A3B8C"/>
    <w:rsid w:val="009A3C5F"/>
    <w:rsid w:val="009A44AB"/>
    <w:rsid w:val="009A47F3"/>
    <w:rsid w:val="009A4DB2"/>
    <w:rsid w:val="009A4FD9"/>
    <w:rsid w:val="009A50C5"/>
    <w:rsid w:val="009A5655"/>
    <w:rsid w:val="009A657F"/>
    <w:rsid w:val="009A6938"/>
    <w:rsid w:val="009A6D45"/>
    <w:rsid w:val="009A6DFF"/>
    <w:rsid w:val="009A727A"/>
    <w:rsid w:val="009A7440"/>
    <w:rsid w:val="009A7506"/>
    <w:rsid w:val="009A75BD"/>
    <w:rsid w:val="009A7BB8"/>
    <w:rsid w:val="009B018E"/>
    <w:rsid w:val="009B0399"/>
    <w:rsid w:val="009B0E2A"/>
    <w:rsid w:val="009B12A1"/>
    <w:rsid w:val="009B12F1"/>
    <w:rsid w:val="009B1583"/>
    <w:rsid w:val="009B15C4"/>
    <w:rsid w:val="009B1BB5"/>
    <w:rsid w:val="009B1DB3"/>
    <w:rsid w:val="009B20AC"/>
    <w:rsid w:val="009B2433"/>
    <w:rsid w:val="009B2502"/>
    <w:rsid w:val="009B2773"/>
    <w:rsid w:val="009B29EA"/>
    <w:rsid w:val="009B2B7B"/>
    <w:rsid w:val="009B33B5"/>
    <w:rsid w:val="009B379E"/>
    <w:rsid w:val="009B41D3"/>
    <w:rsid w:val="009B4841"/>
    <w:rsid w:val="009B4C0D"/>
    <w:rsid w:val="009B4D26"/>
    <w:rsid w:val="009B4D4E"/>
    <w:rsid w:val="009B4E81"/>
    <w:rsid w:val="009B5114"/>
    <w:rsid w:val="009B52F7"/>
    <w:rsid w:val="009B5ADD"/>
    <w:rsid w:val="009B5BE2"/>
    <w:rsid w:val="009B5CC2"/>
    <w:rsid w:val="009B5FA9"/>
    <w:rsid w:val="009B603A"/>
    <w:rsid w:val="009B6110"/>
    <w:rsid w:val="009B61B9"/>
    <w:rsid w:val="009B6387"/>
    <w:rsid w:val="009B6537"/>
    <w:rsid w:val="009B67C4"/>
    <w:rsid w:val="009B6D86"/>
    <w:rsid w:val="009B6E5F"/>
    <w:rsid w:val="009B7193"/>
    <w:rsid w:val="009B7D46"/>
    <w:rsid w:val="009B7F28"/>
    <w:rsid w:val="009C0EE2"/>
    <w:rsid w:val="009C130B"/>
    <w:rsid w:val="009C1462"/>
    <w:rsid w:val="009C15BD"/>
    <w:rsid w:val="009C16F8"/>
    <w:rsid w:val="009C1C9A"/>
    <w:rsid w:val="009C1D40"/>
    <w:rsid w:val="009C1F72"/>
    <w:rsid w:val="009C23FD"/>
    <w:rsid w:val="009C264B"/>
    <w:rsid w:val="009C2946"/>
    <w:rsid w:val="009C29DD"/>
    <w:rsid w:val="009C2AFE"/>
    <w:rsid w:val="009C2FBC"/>
    <w:rsid w:val="009C3395"/>
    <w:rsid w:val="009C38D4"/>
    <w:rsid w:val="009C39E5"/>
    <w:rsid w:val="009C4050"/>
    <w:rsid w:val="009C49B3"/>
    <w:rsid w:val="009C4B69"/>
    <w:rsid w:val="009C4CDE"/>
    <w:rsid w:val="009C520D"/>
    <w:rsid w:val="009C54C9"/>
    <w:rsid w:val="009C5532"/>
    <w:rsid w:val="009C5BAA"/>
    <w:rsid w:val="009C6A4C"/>
    <w:rsid w:val="009C6C31"/>
    <w:rsid w:val="009C7B22"/>
    <w:rsid w:val="009C7C7D"/>
    <w:rsid w:val="009C7EF7"/>
    <w:rsid w:val="009C7F7C"/>
    <w:rsid w:val="009D0361"/>
    <w:rsid w:val="009D056B"/>
    <w:rsid w:val="009D066A"/>
    <w:rsid w:val="009D0EA9"/>
    <w:rsid w:val="009D0EC5"/>
    <w:rsid w:val="009D105F"/>
    <w:rsid w:val="009D1242"/>
    <w:rsid w:val="009D18FF"/>
    <w:rsid w:val="009D25D8"/>
    <w:rsid w:val="009D29F8"/>
    <w:rsid w:val="009D2AB1"/>
    <w:rsid w:val="009D2CEC"/>
    <w:rsid w:val="009D345C"/>
    <w:rsid w:val="009D38B9"/>
    <w:rsid w:val="009D38BE"/>
    <w:rsid w:val="009D3ABB"/>
    <w:rsid w:val="009D3F5F"/>
    <w:rsid w:val="009D4336"/>
    <w:rsid w:val="009D4444"/>
    <w:rsid w:val="009D45DC"/>
    <w:rsid w:val="009D469D"/>
    <w:rsid w:val="009D4AB4"/>
    <w:rsid w:val="009D587E"/>
    <w:rsid w:val="009D6260"/>
    <w:rsid w:val="009D6359"/>
    <w:rsid w:val="009D6B96"/>
    <w:rsid w:val="009D6C8F"/>
    <w:rsid w:val="009D6EEF"/>
    <w:rsid w:val="009D7239"/>
    <w:rsid w:val="009D784E"/>
    <w:rsid w:val="009D7965"/>
    <w:rsid w:val="009D7ACA"/>
    <w:rsid w:val="009D7C2B"/>
    <w:rsid w:val="009D7E81"/>
    <w:rsid w:val="009D7F08"/>
    <w:rsid w:val="009E096F"/>
    <w:rsid w:val="009E101C"/>
    <w:rsid w:val="009E204F"/>
    <w:rsid w:val="009E260C"/>
    <w:rsid w:val="009E2EDC"/>
    <w:rsid w:val="009E2EFE"/>
    <w:rsid w:val="009E31DA"/>
    <w:rsid w:val="009E3322"/>
    <w:rsid w:val="009E34DC"/>
    <w:rsid w:val="009E360C"/>
    <w:rsid w:val="009E38EB"/>
    <w:rsid w:val="009E3F9B"/>
    <w:rsid w:val="009E50B7"/>
    <w:rsid w:val="009E51A2"/>
    <w:rsid w:val="009E5775"/>
    <w:rsid w:val="009E5C0F"/>
    <w:rsid w:val="009E61A1"/>
    <w:rsid w:val="009E66BC"/>
    <w:rsid w:val="009E6D03"/>
    <w:rsid w:val="009E6E12"/>
    <w:rsid w:val="009E6E28"/>
    <w:rsid w:val="009E6EC2"/>
    <w:rsid w:val="009E6F53"/>
    <w:rsid w:val="009E7747"/>
    <w:rsid w:val="009E7A04"/>
    <w:rsid w:val="009E7E82"/>
    <w:rsid w:val="009F02E9"/>
    <w:rsid w:val="009F08F4"/>
    <w:rsid w:val="009F1180"/>
    <w:rsid w:val="009F1302"/>
    <w:rsid w:val="009F1B67"/>
    <w:rsid w:val="009F207A"/>
    <w:rsid w:val="009F219A"/>
    <w:rsid w:val="009F221B"/>
    <w:rsid w:val="009F269F"/>
    <w:rsid w:val="009F2B81"/>
    <w:rsid w:val="009F2C57"/>
    <w:rsid w:val="009F2CFB"/>
    <w:rsid w:val="009F2DD8"/>
    <w:rsid w:val="009F31F6"/>
    <w:rsid w:val="009F3408"/>
    <w:rsid w:val="009F3C6B"/>
    <w:rsid w:val="009F3DA0"/>
    <w:rsid w:val="009F412E"/>
    <w:rsid w:val="009F42FF"/>
    <w:rsid w:val="009F4C36"/>
    <w:rsid w:val="009F4E79"/>
    <w:rsid w:val="009F526C"/>
    <w:rsid w:val="009F581C"/>
    <w:rsid w:val="009F583E"/>
    <w:rsid w:val="009F5C26"/>
    <w:rsid w:val="009F6348"/>
    <w:rsid w:val="009F64A3"/>
    <w:rsid w:val="009F6AF1"/>
    <w:rsid w:val="009F6AFB"/>
    <w:rsid w:val="009F71DD"/>
    <w:rsid w:val="009F7785"/>
    <w:rsid w:val="009F7C52"/>
    <w:rsid w:val="00A0012C"/>
    <w:rsid w:val="00A004DE"/>
    <w:rsid w:val="00A006EE"/>
    <w:rsid w:val="00A011D7"/>
    <w:rsid w:val="00A01265"/>
    <w:rsid w:val="00A0162D"/>
    <w:rsid w:val="00A01987"/>
    <w:rsid w:val="00A01D7C"/>
    <w:rsid w:val="00A02026"/>
    <w:rsid w:val="00A020F3"/>
    <w:rsid w:val="00A023CC"/>
    <w:rsid w:val="00A029CA"/>
    <w:rsid w:val="00A02C6C"/>
    <w:rsid w:val="00A02CDB"/>
    <w:rsid w:val="00A02D82"/>
    <w:rsid w:val="00A02EC1"/>
    <w:rsid w:val="00A03251"/>
    <w:rsid w:val="00A032BD"/>
    <w:rsid w:val="00A033FB"/>
    <w:rsid w:val="00A03684"/>
    <w:rsid w:val="00A0411B"/>
    <w:rsid w:val="00A042F3"/>
    <w:rsid w:val="00A04795"/>
    <w:rsid w:val="00A0484D"/>
    <w:rsid w:val="00A05380"/>
    <w:rsid w:val="00A053ED"/>
    <w:rsid w:val="00A05452"/>
    <w:rsid w:val="00A05EC1"/>
    <w:rsid w:val="00A070B2"/>
    <w:rsid w:val="00A07355"/>
    <w:rsid w:val="00A07494"/>
    <w:rsid w:val="00A07561"/>
    <w:rsid w:val="00A07587"/>
    <w:rsid w:val="00A079A9"/>
    <w:rsid w:val="00A07FAB"/>
    <w:rsid w:val="00A103B8"/>
    <w:rsid w:val="00A10B6C"/>
    <w:rsid w:val="00A10D36"/>
    <w:rsid w:val="00A10D38"/>
    <w:rsid w:val="00A10DC7"/>
    <w:rsid w:val="00A10E4C"/>
    <w:rsid w:val="00A10F6C"/>
    <w:rsid w:val="00A11BF2"/>
    <w:rsid w:val="00A11DB2"/>
    <w:rsid w:val="00A1204B"/>
    <w:rsid w:val="00A12747"/>
    <w:rsid w:val="00A12D8D"/>
    <w:rsid w:val="00A130A7"/>
    <w:rsid w:val="00A13BC4"/>
    <w:rsid w:val="00A13D18"/>
    <w:rsid w:val="00A1418E"/>
    <w:rsid w:val="00A143CB"/>
    <w:rsid w:val="00A1469F"/>
    <w:rsid w:val="00A14834"/>
    <w:rsid w:val="00A14B81"/>
    <w:rsid w:val="00A14C56"/>
    <w:rsid w:val="00A14CFD"/>
    <w:rsid w:val="00A14F6D"/>
    <w:rsid w:val="00A151AA"/>
    <w:rsid w:val="00A153E7"/>
    <w:rsid w:val="00A155DA"/>
    <w:rsid w:val="00A159F4"/>
    <w:rsid w:val="00A15EB0"/>
    <w:rsid w:val="00A15FE9"/>
    <w:rsid w:val="00A1611C"/>
    <w:rsid w:val="00A16B1D"/>
    <w:rsid w:val="00A17C60"/>
    <w:rsid w:val="00A20823"/>
    <w:rsid w:val="00A20CC3"/>
    <w:rsid w:val="00A21082"/>
    <w:rsid w:val="00A21214"/>
    <w:rsid w:val="00A21458"/>
    <w:rsid w:val="00A217DA"/>
    <w:rsid w:val="00A21B42"/>
    <w:rsid w:val="00A21D35"/>
    <w:rsid w:val="00A21EDD"/>
    <w:rsid w:val="00A22244"/>
    <w:rsid w:val="00A232BA"/>
    <w:rsid w:val="00A23CB5"/>
    <w:rsid w:val="00A23D0A"/>
    <w:rsid w:val="00A23E1A"/>
    <w:rsid w:val="00A24334"/>
    <w:rsid w:val="00A2443B"/>
    <w:rsid w:val="00A247AA"/>
    <w:rsid w:val="00A24B68"/>
    <w:rsid w:val="00A24D98"/>
    <w:rsid w:val="00A25050"/>
    <w:rsid w:val="00A259DA"/>
    <w:rsid w:val="00A25B09"/>
    <w:rsid w:val="00A25CFF"/>
    <w:rsid w:val="00A25D5C"/>
    <w:rsid w:val="00A25F54"/>
    <w:rsid w:val="00A26303"/>
    <w:rsid w:val="00A26680"/>
    <w:rsid w:val="00A26C51"/>
    <w:rsid w:val="00A26D22"/>
    <w:rsid w:val="00A27514"/>
    <w:rsid w:val="00A275D6"/>
    <w:rsid w:val="00A2766D"/>
    <w:rsid w:val="00A31141"/>
    <w:rsid w:val="00A31197"/>
    <w:rsid w:val="00A313CA"/>
    <w:rsid w:val="00A31601"/>
    <w:rsid w:val="00A3163D"/>
    <w:rsid w:val="00A31826"/>
    <w:rsid w:val="00A318EB"/>
    <w:rsid w:val="00A3195D"/>
    <w:rsid w:val="00A31D3B"/>
    <w:rsid w:val="00A31EC3"/>
    <w:rsid w:val="00A31F88"/>
    <w:rsid w:val="00A327FC"/>
    <w:rsid w:val="00A32D15"/>
    <w:rsid w:val="00A32D7C"/>
    <w:rsid w:val="00A3333B"/>
    <w:rsid w:val="00A337DD"/>
    <w:rsid w:val="00A33EEC"/>
    <w:rsid w:val="00A34AA7"/>
    <w:rsid w:val="00A34B29"/>
    <w:rsid w:val="00A34DA7"/>
    <w:rsid w:val="00A34DC3"/>
    <w:rsid w:val="00A353D8"/>
    <w:rsid w:val="00A36044"/>
    <w:rsid w:val="00A36322"/>
    <w:rsid w:val="00A36325"/>
    <w:rsid w:val="00A363C8"/>
    <w:rsid w:val="00A3693B"/>
    <w:rsid w:val="00A36AA8"/>
    <w:rsid w:val="00A36C2B"/>
    <w:rsid w:val="00A37697"/>
    <w:rsid w:val="00A40108"/>
    <w:rsid w:val="00A404F7"/>
    <w:rsid w:val="00A40CEF"/>
    <w:rsid w:val="00A41281"/>
    <w:rsid w:val="00A41451"/>
    <w:rsid w:val="00A4148A"/>
    <w:rsid w:val="00A417BF"/>
    <w:rsid w:val="00A41B5B"/>
    <w:rsid w:val="00A41C1C"/>
    <w:rsid w:val="00A41C43"/>
    <w:rsid w:val="00A41D2D"/>
    <w:rsid w:val="00A41EA1"/>
    <w:rsid w:val="00A420A9"/>
    <w:rsid w:val="00A42529"/>
    <w:rsid w:val="00A4266A"/>
    <w:rsid w:val="00A429E1"/>
    <w:rsid w:val="00A42BBD"/>
    <w:rsid w:val="00A43340"/>
    <w:rsid w:val="00A43442"/>
    <w:rsid w:val="00A4354B"/>
    <w:rsid w:val="00A43730"/>
    <w:rsid w:val="00A43BD9"/>
    <w:rsid w:val="00A43ED2"/>
    <w:rsid w:val="00A447DB"/>
    <w:rsid w:val="00A4492E"/>
    <w:rsid w:val="00A44CD8"/>
    <w:rsid w:val="00A44DF2"/>
    <w:rsid w:val="00A45575"/>
    <w:rsid w:val="00A45866"/>
    <w:rsid w:val="00A45891"/>
    <w:rsid w:val="00A45ED9"/>
    <w:rsid w:val="00A45FEE"/>
    <w:rsid w:val="00A463B0"/>
    <w:rsid w:val="00A46975"/>
    <w:rsid w:val="00A46DBB"/>
    <w:rsid w:val="00A46E48"/>
    <w:rsid w:val="00A47768"/>
    <w:rsid w:val="00A47E41"/>
    <w:rsid w:val="00A5026B"/>
    <w:rsid w:val="00A5087E"/>
    <w:rsid w:val="00A50D3B"/>
    <w:rsid w:val="00A50D72"/>
    <w:rsid w:val="00A50D83"/>
    <w:rsid w:val="00A50DA6"/>
    <w:rsid w:val="00A5101F"/>
    <w:rsid w:val="00A5106C"/>
    <w:rsid w:val="00A5164B"/>
    <w:rsid w:val="00A51797"/>
    <w:rsid w:val="00A51877"/>
    <w:rsid w:val="00A51B53"/>
    <w:rsid w:val="00A51E2B"/>
    <w:rsid w:val="00A51F0C"/>
    <w:rsid w:val="00A5250E"/>
    <w:rsid w:val="00A52646"/>
    <w:rsid w:val="00A52915"/>
    <w:rsid w:val="00A531C8"/>
    <w:rsid w:val="00A536B4"/>
    <w:rsid w:val="00A537B5"/>
    <w:rsid w:val="00A53A68"/>
    <w:rsid w:val="00A53CD9"/>
    <w:rsid w:val="00A53D90"/>
    <w:rsid w:val="00A53EE6"/>
    <w:rsid w:val="00A545B6"/>
    <w:rsid w:val="00A557D5"/>
    <w:rsid w:val="00A560DD"/>
    <w:rsid w:val="00A560FF"/>
    <w:rsid w:val="00A561F1"/>
    <w:rsid w:val="00A56998"/>
    <w:rsid w:val="00A56B96"/>
    <w:rsid w:val="00A56BF7"/>
    <w:rsid w:val="00A578F2"/>
    <w:rsid w:val="00A5792A"/>
    <w:rsid w:val="00A57B9C"/>
    <w:rsid w:val="00A57C0E"/>
    <w:rsid w:val="00A57CE7"/>
    <w:rsid w:val="00A60039"/>
    <w:rsid w:val="00A6042D"/>
    <w:rsid w:val="00A6098C"/>
    <w:rsid w:val="00A60AEE"/>
    <w:rsid w:val="00A60AF8"/>
    <w:rsid w:val="00A60CE3"/>
    <w:rsid w:val="00A60DB2"/>
    <w:rsid w:val="00A6103A"/>
    <w:rsid w:val="00A610D9"/>
    <w:rsid w:val="00A61523"/>
    <w:rsid w:val="00A61556"/>
    <w:rsid w:val="00A61758"/>
    <w:rsid w:val="00A61822"/>
    <w:rsid w:val="00A61A69"/>
    <w:rsid w:val="00A620B3"/>
    <w:rsid w:val="00A626CB"/>
    <w:rsid w:val="00A627CA"/>
    <w:rsid w:val="00A62912"/>
    <w:rsid w:val="00A629B7"/>
    <w:rsid w:val="00A629C5"/>
    <w:rsid w:val="00A62C2C"/>
    <w:rsid w:val="00A62C7A"/>
    <w:rsid w:val="00A62D4D"/>
    <w:rsid w:val="00A63271"/>
    <w:rsid w:val="00A644E9"/>
    <w:rsid w:val="00A64785"/>
    <w:rsid w:val="00A64786"/>
    <w:rsid w:val="00A64C4F"/>
    <w:rsid w:val="00A64E09"/>
    <w:rsid w:val="00A64FFE"/>
    <w:rsid w:val="00A650A5"/>
    <w:rsid w:val="00A650F1"/>
    <w:rsid w:val="00A65441"/>
    <w:rsid w:val="00A654BE"/>
    <w:rsid w:val="00A656C9"/>
    <w:rsid w:val="00A6599E"/>
    <w:rsid w:val="00A6615C"/>
    <w:rsid w:val="00A66498"/>
    <w:rsid w:val="00A66F59"/>
    <w:rsid w:val="00A6728F"/>
    <w:rsid w:val="00A67712"/>
    <w:rsid w:val="00A700DF"/>
    <w:rsid w:val="00A70435"/>
    <w:rsid w:val="00A7044B"/>
    <w:rsid w:val="00A70F19"/>
    <w:rsid w:val="00A711C0"/>
    <w:rsid w:val="00A713A8"/>
    <w:rsid w:val="00A71827"/>
    <w:rsid w:val="00A719F9"/>
    <w:rsid w:val="00A71D32"/>
    <w:rsid w:val="00A71FDD"/>
    <w:rsid w:val="00A7265F"/>
    <w:rsid w:val="00A72905"/>
    <w:rsid w:val="00A72E6C"/>
    <w:rsid w:val="00A72E8F"/>
    <w:rsid w:val="00A72EA5"/>
    <w:rsid w:val="00A73B1E"/>
    <w:rsid w:val="00A73BEF"/>
    <w:rsid w:val="00A73FBE"/>
    <w:rsid w:val="00A74270"/>
    <w:rsid w:val="00A742DE"/>
    <w:rsid w:val="00A744D4"/>
    <w:rsid w:val="00A750F4"/>
    <w:rsid w:val="00A75251"/>
    <w:rsid w:val="00A75630"/>
    <w:rsid w:val="00A75698"/>
    <w:rsid w:val="00A75E02"/>
    <w:rsid w:val="00A76301"/>
    <w:rsid w:val="00A763AD"/>
    <w:rsid w:val="00A768A9"/>
    <w:rsid w:val="00A76EE7"/>
    <w:rsid w:val="00A77249"/>
    <w:rsid w:val="00A77418"/>
    <w:rsid w:val="00A77648"/>
    <w:rsid w:val="00A77650"/>
    <w:rsid w:val="00A777A9"/>
    <w:rsid w:val="00A778AF"/>
    <w:rsid w:val="00A77AAA"/>
    <w:rsid w:val="00A77BFD"/>
    <w:rsid w:val="00A77CA2"/>
    <w:rsid w:val="00A77FDD"/>
    <w:rsid w:val="00A80058"/>
    <w:rsid w:val="00A80365"/>
    <w:rsid w:val="00A8057E"/>
    <w:rsid w:val="00A81335"/>
    <w:rsid w:val="00A81C1B"/>
    <w:rsid w:val="00A82019"/>
    <w:rsid w:val="00A820B8"/>
    <w:rsid w:val="00A825B3"/>
    <w:rsid w:val="00A825F9"/>
    <w:rsid w:val="00A82694"/>
    <w:rsid w:val="00A82733"/>
    <w:rsid w:val="00A82F0B"/>
    <w:rsid w:val="00A836D5"/>
    <w:rsid w:val="00A83C55"/>
    <w:rsid w:val="00A83F56"/>
    <w:rsid w:val="00A84188"/>
    <w:rsid w:val="00A84265"/>
    <w:rsid w:val="00A84453"/>
    <w:rsid w:val="00A84934"/>
    <w:rsid w:val="00A84C4A"/>
    <w:rsid w:val="00A85175"/>
    <w:rsid w:val="00A85B8F"/>
    <w:rsid w:val="00A85C6B"/>
    <w:rsid w:val="00A860C5"/>
    <w:rsid w:val="00A86286"/>
    <w:rsid w:val="00A868CE"/>
    <w:rsid w:val="00A86BE2"/>
    <w:rsid w:val="00A870CC"/>
    <w:rsid w:val="00A872FB"/>
    <w:rsid w:val="00A87C56"/>
    <w:rsid w:val="00A87FD2"/>
    <w:rsid w:val="00A9026A"/>
    <w:rsid w:val="00A9062F"/>
    <w:rsid w:val="00A90A79"/>
    <w:rsid w:val="00A90DFA"/>
    <w:rsid w:val="00A90EC2"/>
    <w:rsid w:val="00A910CC"/>
    <w:rsid w:val="00A911CD"/>
    <w:rsid w:val="00A91AB8"/>
    <w:rsid w:val="00A91CC0"/>
    <w:rsid w:val="00A9200B"/>
    <w:rsid w:val="00A925F5"/>
    <w:rsid w:val="00A92602"/>
    <w:rsid w:val="00A928D9"/>
    <w:rsid w:val="00A92CC7"/>
    <w:rsid w:val="00A92F2D"/>
    <w:rsid w:val="00A92F93"/>
    <w:rsid w:val="00A9315A"/>
    <w:rsid w:val="00A93B91"/>
    <w:rsid w:val="00A93BE3"/>
    <w:rsid w:val="00A94099"/>
    <w:rsid w:val="00A94DA4"/>
    <w:rsid w:val="00A95862"/>
    <w:rsid w:val="00A958E4"/>
    <w:rsid w:val="00A95E58"/>
    <w:rsid w:val="00A96195"/>
    <w:rsid w:val="00A96225"/>
    <w:rsid w:val="00A96639"/>
    <w:rsid w:val="00A967C5"/>
    <w:rsid w:val="00A968BA"/>
    <w:rsid w:val="00A96DFC"/>
    <w:rsid w:val="00A9714F"/>
    <w:rsid w:val="00A971C6"/>
    <w:rsid w:val="00A97E32"/>
    <w:rsid w:val="00AA0567"/>
    <w:rsid w:val="00AA0619"/>
    <w:rsid w:val="00AA0761"/>
    <w:rsid w:val="00AA0781"/>
    <w:rsid w:val="00AA0A82"/>
    <w:rsid w:val="00AA0B2E"/>
    <w:rsid w:val="00AA0B30"/>
    <w:rsid w:val="00AA0E23"/>
    <w:rsid w:val="00AA0E32"/>
    <w:rsid w:val="00AA1396"/>
    <w:rsid w:val="00AA14A9"/>
    <w:rsid w:val="00AA1989"/>
    <w:rsid w:val="00AA1BAA"/>
    <w:rsid w:val="00AA25D2"/>
    <w:rsid w:val="00AA2AB4"/>
    <w:rsid w:val="00AA2D78"/>
    <w:rsid w:val="00AA2F83"/>
    <w:rsid w:val="00AA30CA"/>
    <w:rsid w:val="00AA328A"/>
    <w:rsid w:val="00AA364E"/>
    <w:rsid w:val="00AA37F0"/>
    <w:rsid w:val="00AA3D32"/>
    <w:rsid w:val="00AA4F32"/>
    <w:rsid w:val="00AA55FA"/>
    <w:rsid w:val="00AA59D3"/>
    <w:rsid w:val="00AA5B5B"/>
    <w:rsid w:val="00AA60D3"/>
    <w:rsid w:val="00AA643E"/>
    <w:rsid w:val="00AA65F6"/>
    <w:rsid w:val="00AA689F"/>
    <w:rsid w:val="00AA6F27"/>
    <w:rsid w:val="00AA71CC"/>
    <w:rsid w:val="00AA79C2"/>
    <w:rsid w:val="00AA7A76"/>
    <w:rsid w:val="00AA7AE4"/>
    <w:rsid w:val="00AA7B01"/>
    <w:rsid w:val="00AA7CCC"/>
    <w:rsid w:val="00AA7E5E"/>
    <w:rsid w:val="00AB0291"/>
    <w:rsid w:val="00AB11DD"/>
    <w:rsid w:val="00AB14F8"/>
    <w:rsid w:val="00AB1C96"/>
    <w:rsid w:val="00AB2277"/>
    <w:rsid w:val="00AB238F"/>
    <w:rsid w:val="00AB28FF"/>
    <w:rsid w:val="00AB326C"/>
    <w:rsid w:val="00AB348F"/>
    <w:rsid w:val="00AB38F4"/>
    <w:rsid w:val="00AB4739"/>
    <w:rsid w:val="00AB4D44"/>
    <w:rsid w:val="00AB505A"/>
    <w:rsid w:val="00AB5158"/>
    <w:rsid w:val="00AB5514"/>
    <w:rsid w:val="00AB5B02"/>
    <w:rsid w:val="00AB5C06"/>
    <w:rsid w:val="00AB5C27"/>
    <w:rsid w:val="00AB5D14"/>
    <w:rsid w:val="00AB65C0"/>
    <w:rsid w:val="00AB6E1B"/>
    <w:rsid w:val="00AB6E84"/>
    <w:rsid w:val="00AB79A6"/>
    <w:rsid w:val="00AC05C8"/>
    <w:rsid w:val="00AC0732"/>
    <w:rsid w:val="00AC0742"/>
    <w:rsid w:val="00AC09FF"/>
    <w:rsid w:val="00AC0D06"/>
    <w:rsid w:val="00AC0EBB"/>
    <w:rsid w:val="00AC154A"/>
    <w:rsid w:val="00AC2035"/>
    <w:rsid w:val="00AC2727"/>
    <w:rsid w:val="00AC2ADB"/>
    <w:rsid w:val="00AC2EBB"/>
    <w:rsid w:val="00AC32CC"/>
    <w:rsid w:val="00AC3687"/>
    <w:rsid w:val="00AC36A8"/>
    <w:rsid w:val="00AC40FA"/>
    <w:rsid w:val="00AC43CC"/>
    <w:rsid w:val="00AC46C7"/>
    <w:rsid w:val="00AC4B93"/>
    <w:rsid w:val="00AC4D90"/>
    <w:rsid w:val="00AC58E2"/>
    <w:rsid w:val="00AC5C2C"/>
    <w:rsid w:val="00AC5FBA"/>
    <w:rsid w:val="00AC61A8"/>
    <w:rsid w:val="00AC621F"/>
    <w:rsid w:val="00AC639B"/>
    <w:rsid w:val="00AC67A4"/>
    <w:rsid w:val="00AC6883"/>
    <w:rsid w:val="00AC710D"/>
    <w:rsid w:val="00AC73C5"/>
    <w:rsid w:val="00AC7704"/>
    <w:rsid w:val="00AC78A7"/>
    <w:rsid w:val="00AC7961"/>
    <w:rsid w:val="00AC7C5C"/>
    <w:rsid w:val="00AD05C7"/>
    <w:rsid w:val="00AD0870"/>
    <w:rsid w:val="00AD0937"/>
    <w:rsid w:val="00AD0C2B"/>
    <w:rsid w:val="00AD0C95"/>
    <w:rsid w:val="00AD1053"/>
    <w:rsid w:val="00AD114F"/>
    <w:rsid w:val="00AD18A6"/>
    <w:rsid w:val="00AD1B25"/>
    <w:rsid w:val="00AD1C9C"/>
    <w:rsid w:val="00AD310D"/>
    <w:rsid w:val="00AD3112"/>
    <w:rsid w:val="00AD3A15"/>
    <w:rsid w:val="00AD3B42"/>
    <w:rsid w:val="00AD3C25"/>
    <w:rsid w:val="00AD41EA"/>
    <w:rsid w:val="00AD4541"/>
    <w:rsid w:val="00AD46CE"/>
    <w:rsid w:val="00AD5350"/>
    <w:rsid w:val="00AD582E"/>
    <w:rsid w:val="00AD5F04"/>
    <w:rsid w:val="00AD60DE"/>
    <w:rsid w:val="00AD6136"/>
    <w:rsid w:val="00AD64DF"/>
    <w:rsid w:val="00AD67D2"/>
    <w:rsid w:val="00AD6A03"/>
    <w:rsid w:val="00AD6E90"/>
    <w:rsid w:val="00AD6EAB"/>
    <w:rsid w:val="00AD7922"/>
    <w:rsid w:val="00AD7C08"/>
    <w:rsid w:val="00AE0103"/>
    <w:rsid w:val="00AE0156"/>
    <w:rsid w:val="00AE03FF"/>
    <w:rsid w:val="00AE043D"/>
    <w:rsid w:val="00AE0441"/>
    <w:rsid w:val="00AE0810"/>
    <w:rsid w:val="00AE0F65"/>
    <w:rsid w:val="00AE1041"/>
    <w:rsid w:val="00AE182F"/>
    <w:rsid w:val="00AE1C16"/>
    <w:rsid w:val="00AE1C7A"/>
    <w:rsid w:val="00AE1EDE"/>
    <w:rsid w:val="00AE23C9"/>
    <w:rsid w:val="00AE2A67"/>
    <w:rsid w:val="00AE2AA4"/>
    <w:rsid w:val="00AE418A"/>
    <w:rsid w:val="00AE4A02"/>
    <w:rsid w:val="00AE4B80"/>
    <w:rsid w:val="00AE4C81"/>
    <w:rsid w:val="00AE58B5"/>
    <w:rsid w:val="00AE5932"/>
    <w:rsid w:val="00AE5ADD"/>
    <w:rsid w:val="00AE5B52"/>
    <w:rsid w:val="00AE5B60"/>
    <w:rsid w:val="00AE5D1E"/>
    <w:rsid w:val="00AE5EFD"/>
    <w:rsid w:val="00AE606E"/>
    <w:rsid w:val="00AE6409"/>
    <w:rsid w:val="00AE67F7"/>
    <w:rsid w:val="00AE7F29"/>
    <w:rsid w:val="00AF0078"/>
    <w:rsid w:val="00AF0152"/>
    <w:rsid w:val="00AF0198"/>
    <w:rsid w:val="00AF0279"/>
    <w:rsid w:val="00AF1544"/>
    <w:rsid w:val="00AF15F7"/>
    <w:rsid w:val="00AF1CA7"/>
    <w:rsid w:val="00AF20AF"/>
    <w:rsid w:val="00AF20B2"/>
    <w:rsid w:val="00AF2109"/>
    <w:rsid w:val="00AF238C"/>
    <w:rsid w:val="00AF379F"/>
    <w:rsid w:val="00AF3999"/>
    <w:rsid w:val="00AF3A4C"/>
    <w:rsid w:val="00AF3B54"/>
    <w:rsid w:val="00AF3DAC"/>
    <w:rsid w:val="00AF3DCB"/>
    <w:rsid w:val="00AF3E9E"/>
    <w:rsid w:val="00AF4100"/>
    <w:rsid w:val="00AF4675"/>
    <w:rsid w:val="00AF4DFF"/>
    <w:rsid w:val="00AF5385"/>
    <w:rsid w:val="00AF54B0"/>
    <w:rsid w:val="00AF54B9"/>
    <w:rsid w:val="00AF550C"/>
    <w:rsid w:val="00AF5543"/>
    <w:rsid w:val="00AF593C"/>
    <w:rsid w:val="00AF599D"/>
    <w:rsid w:val="00AF5A55"/>
    <w:rsid w:val="00AF5C56"/>
    <w:rsid w:val="00AF73AA"/>
    <w:rsid w:val="00AF78ED"/>
    <w:rsid w:val="00AF7EBB"/>
    <w:rsid w:val="00B000BF"/>
    <w:rsid w:val="00B00BB0"/>
    <w:rsid w:val="00B00D91"/>
    <w:rsid w:val="00B011A0"/>
    <w:rsid w:val="00B01371"/>
    <w:rsid w:val="00B0188D"/>
    <w:rsid w:val="00B028A0"/>
    <w:rsid w:val="00B02E7D"/>
    <w:rsid w:val="00B02EA1"/>
    <w:rsid w:val="00B02F93"/>
    <w:rsid w:val="00B03490"/>
    <w:rsid w:val="00B035C8"/>
    <w:rsid w:val="00B036EF"/>
    <w:rsid w:val="00B0391A"/>
    <w:rsid w:val="00B03C21"/>
    <w:rsid w:val="00B04774"/>
    <w:rsid w:val="00B0491A"/>
    <w:rsid w:val="00B04B0C"/>
    <w:rsid w:val="00B04B88"/>
    <w:rsid w:val="00B04FA7"/>
    <w:rsid w:val="00B04FAF"/>
    <w:rsid w:val="00B05019"/>
    <w:rsid w:val="00B052CA"/>
    <w:rsid w:val="00B052E0"/>
    <w:rsid w:val="00B05850"/>
    <w:rsid w:val="00B05865"/>
    <w:rsid w:val="00B05BD0"/>
    <w:rsid w:val="00B05DD3"/>
    <w:rsid w:val="00B06B33"/>
    <w:rsid w:val="00B06B8B"/>
    <w:rsid w:val="00B06C0A"/>
    <w:rsid w:val="00B06EB5"/>
    <w:rsid w:val="00B071F0"/>
    <w:rsid w:val="00B0742F"/>
    <w:rsid w:val="00B07952"/>
    <w:rsid w:val="00B07E57"/>
    <w:rsid w:val="00B10831"/>
    <w:rsid w:val="00B10B84"/>
    <w:rsid w:val="00B10D25"/>
    <w:rsid w:val="00B11210"/>
    <w:rsid w:val="00B1121E"/>
    <w:rsid w:val="00B1188D"/>
    <w:rsid w:val="00B11CDB"/>
    <w:rsid w:val="00B11F93"/>
    <w:rsid w:val="00B129D1"/>
    <w:rsid w:val="00B13E5D"/>
    <w:rsid w:val="00B1440E"/>
    <w:rsid w:val="00B14A62"/>
    <w:rsid w:val="00B14B71"/>
    <w:rsid w:val="00B14C0C"/>
    <w:rsid w:val="00B159EE"/>
    <w:rsid w:val="00B15AD3"/>
    <w:rsid w:val="00B15B9B"/>
    <w:rsid w:val="00B15F5B"/>
    <w:rsid w:val="00B16FB6"/>
    <w:rsid w:val="00B17012"/>
    <w:rsid w:val="00B176F4"/>
    <w:rsid w:val="00B178ED"/>
    <w:rsid w:val="00B17CEC"/>
    <w:rsid w:val="00B17E9D"/>
    <w:rsid w:val="00B2016E"/>
    <w:rsid w:val="00B201E8"/>
    <w:rsid w:val="00B2037F"/>
    <w:rsid w:val="00B20DF4"/>
    <w:rsid w:val="00B2100F"/>
    <w:rsid w:val="00B21199"/>
    <w:rsid w:val="00B2145D"/>
    <w:rsid w:val="00B215AC"/>
    <w:rsid w:val="00B21949"/>
    <w:rsid w:val="00B22317"/>
    <w:rsid w:val="00B22A1B"/>
    <w:rsid w:val="00B22C52"/>
    <w:rsid w:val="00B2304F"/>
    <w:rsid w:val="00B23070"/>
    <w:rsid w:val="00B2386C"/>
    <w:rsid w:val="00B23C82"/>
    <w:rsid w:val="00B241BD"/>
    <w:rsid w:val="00B244CC"/>
    <w:rsid w:val="00B24670"/>
    <w:rsid w:val="00B24AC8"/>
    <w:rsid w:val="00B250B1"/>
    <w:rsid w:val="00B25123"/>
    <w:rsid w:val="00B251A8"/>
    <w:rsid w:val="00B255E1"/>
    <w:rsid w:val="00B25C19"/>
    <w:rsid w:val="00B25C4F"/>
    <w:rsid w:val="00B25D5E"/>
    <w:rsid w:val="00B25E45"/>
    <w:rsid w:val="00B26794"/>
    <w:rsid w:val="00B2681C"/>
    <w:rsid w:val="00B26C96"/>
    <w:rsid w:val="00B26D23"/>
    <w:rsid w:val="00B27192"/>
    <w:rsid w:val="00B27400"/>
    <w:rsid w:val="00B278DF"/>
    <w:rsid w:val="00B30571"/>
    <w:rsid w:val="00B305F4"/>
    <w:rsid w:val="00B30AF3"/>
    <w:rsid w:val="00B30C47"/>
    <w:rsid w:val="00B310DE"/>
    <w:rsid w:val="00B316E6"/>
    <w:rsid w:val="00B3171E"/>
    <w:rsid w:val="00B31764"/>
    <w:rsid w:val="00B3190E"/>
    <w:rsid w:val="00B31B84"/>
    <w:rsid w:val="00B31FFA"/>
    <w:rsid w:val="00B320B0"/>
    <w:rsid w:val="00B32125"/>
    <w:rsid w:val="00B32928"/>
    <w:rsid w:val="00B329FF"/>
    <w:rsid w:val="00B3348D"/>
    <w:rsid w:val="00B335FF"/>
    <w:rsid w:val="00B33C8E"/>
    <w:rsid w:val="00B33E5D"/>
    <w:rsid w:val="00B3482C"/>
    <w:rsid w:val="00B349BB"/>
    <w:rsid w:val="00B34A73"/>
    <w:rsid w:val="00B34B5B"/>
    <w:rsid w:val="00B3508E"/>
    <w:rsid w:val="00B354E8"/>
    <w:rsid w:val="00B355F6"/>
    <w:rsid w:val="00B35A91"/>
    <w:rsid w:val="00B36051"/>
    <w:rsid w:val="00B363DB"/>
    <w:rsid w:val="00B3676F"/>
    <w:rsid w:val="00B36992"/>
    <w:rsid w:val="00B369DD"/>
    <w:rsid w:val="00B371E3"/>
    <w:rsid w:val="00B371F3"/>
    <w:rsid w:val="00B373C1"/>
    <w:rsid w:val="00B37CAD"/>
    <w:rsid w:val="00B403AF"/>
    <w:rsid w:val="00B40522"/>
    <w:rsid w:val="00B40832"/>
    <w:rsid w:val="00B40AF4"/>
    <w:rsid w:val="00B4153A"/>
    <w:rsid w:val="00B41879"/>
    <w:rsid w:val="00B41D08"/>
    <w:rsid w:val="00B42120"/>
    <w:rsid w:val="00B42592"/>
    <w:rsid w:val="00B42997"/>
    <w:rsid w:val="00B429AC"/>
    <w:rsid w:val="00B42E79"/>
    <w:rsid w:val="00B430BD"/>
    <w:rsid w:val="00B43658"/>
    <w:rsid w:val="00B44091"/>
    <w:rsid w:val="00B441AB"/>
    <w:rsid w:val="00B442A0"/>
    <w:rsid w:val="00B442B8"/>
    <w:rsid w:val="00B442D7"/>
    <w:rsid w:val="00B449E7"/>
    <w:rsid w:val="00B44B5F"/>
    <w:rsid w:val="00B44EBA"/>
    <w:rsid w:val="00B44F1E"/>
    <w:rsid w:val="00B4509E"/>
    <w:rsid w:val="00B451CA"/>
    <w:rsid w:val="00B4534A"/>
    <w:rsid w:val="00B45EDF"/>
    <w:rsid w:val="00B461BC"/>
    <w:rsid w:val="00B461C3"/>
    <w:rsid w:val="00B4656D"/>
    <w:rsid w:val="00B46618"/>
    <w:rsid w:val="00B46831"/>
    <w:rsid w:val="00B50367"/>
    <w:rsid w:val="00B5045A"/>
    <w:rsid w:val="00B507E3"/>
    <w:rsid w:val="00B51A43"/>
    <w:rsid w:val="00B51D9B"/>
    <w:rsid w:val="00B51DE2"/>
    <w:rsid w:val="00B51E39"/>
    <w:rsid w:val="00B51EB1"/>
    <w:rsid w:val="00B52054"/>
    <w:rsid w:val="00B52B17"/>
    <w:rsid w:val="00B52D1C"/>
    <w:rsid w:val="00B52F98"/>
    <w:rsid w:val="00B531C6"/>
    <w:rsid w:val="00B538C4"/>
    <w:rsid w:val="00B53C4A"/>
    <w:rsid w:val="00B53C5B"/>
    <w:rsid w:val="00B53EAE"/>
    <w:rsid w:val="00B5445B"/>
    <w:rsid w:val="00B5453B"/>
    <w:rsid w:val="00B545DD"/>
    <w:rsid w:val="00B54981"/>
    <w:rsid w:val="00B54A67"/>
    <w:rsid w:val="00B54CB4"/>
    <w:rsid w:val="00B55809"/>
    <w:rsid w:val="00B55B9E"/>
    <w:rsid w:val="00B56252"/>
    <w:rsid w:val="00B56429"/>
    <w:rsid w:val="00B56533"/>
    <w:rsid w:val="00B569B5"/>
    <w:rsid w:val="00B571C7"/>
    <w:rsid w:val="00B57712"/>
    <w:rsid w:val="00B57883"/>
    <w:rsid w:val="00B57DA9"/>
    <w:rsid w:val="00B601CA"/>
    <w:rsid w:val="00B60C9E"/>
    <w:rsid w:val="00B61530"/>
    <w:rsid w:val="00B61B57"/>
    <w:rsid w:val="00B6284B"/>
    <w:rsid w:val="00B628D8"/>
    <w:rsid w:val="00B62BAD"/>
    <w:rsid w:val="00B63361"/>
    <w:rsid w:val="00B63546"/>
    <w:rsid w:val="00B63765"/>
    <w:rsid w:val="00B63859"/>
    <w:rsid w:val="00B63AE5"/>
    <w:rsid w:val="00B6414B"/>
    <w:rsid w:val="00B6433F"/>
    <w:rsid w:val="00B64469"/>
    <w:rsid w:val="00B64959"/>
    <w:rsid w:val="00B64E9C"/>
    <w:rsid w:val="00B65048"/>
    <w:rsid w:val="00B65AD9"/>
    <w:rsid w:val="00B662C2"/>
    <w:rsid w:val="00B66850"/>
    <w:rsid w:val="00B669FD"/>
    <w:rsid w:val="00B66D82"/>
    <w:rsid w:val="00B66F02"/>
    <w:rsid w:val="00B66F07"/>
    <w:rsid w:val="00B66FCD"/>
    <w:rsid w:val="00B67103"/>
    <w:rsid w:val="00B67293"/>
    <w:rsid w:val="00B6756C"/>
    <w:rsid w:val="00B67B3F"/>
    <w:rsid w:val="00B67C3F"/>
    <w:rsid w:val="00B67C4F"/>
    <w:rsid w:val="00B67E96"/>
    <w:rsid w:val="00B70136"/>
    <w:rsid w:val="00B70383"/>
    <w:rsid w:val="00B70528"/>
    <w:rsid w:val="00B70801"/>
    <w:rsid w:val="00B709A5"/>
    <w:rsid w:val="00B70B12"/>
    <w:rsid w:val="00B70D02"/>
    <w:rsid w:val="00B70D37"/>
    <w:rsid w:val="00B70FDC"/>
    <w:rsid w:val="00B71A3C"/>
    <w:rsid w:val="00B71C87"/>
    <w:rsid w:val="00B72602"/>
    <w:rsid w:val="00B731EF"/>
    <w:rsid w:val="00B735E1"/>
    <w:rsid w:val="00B7366E"/>
    <w:rsid w:val="00B73728"/>
    <w:rsid w:val="00B73F41"/>
    <w:rsid w:val="00B7418C"/>
    <w:rsid w:val="00B74647"/>
    <w:rsid w:val="00B74785"/>
    <w:rsid w:val="00B748AD"/>
    <w:rsid w:val="00B756F0"/>
    <w:rsid w:val="00B75F2B"/>
    <w:rsid w:val="00B75FF3"/>
    <w:rsid w:val="00B7787F"/>
    <w:rsid w:val="00B77C53"/>
    <w:rsid w:val="00B77E57"/>
    <w:rsid w:val="00B77EC9"/>
    <w:rsid w:val="00B8041C"/>
    <w:rsid w:val="00B804DB"/>
    <w:rsid w:val="00B804EE"/>
    <w:rsid w:val="00B80688"/>
    <w:rsid w:val="00B809DF"/>
    <w:rsid w:val="00B809FA"/>
    <w:rsid w:val="00B80A83"/>
    <w:rsid w:val="00B81047"/>
    <w:rsid w:val="00B813C3"/>
    <w:rsid w:val="00B8183B"/>
    <w:rsid w:val="00B81CC3"/>
    <w:rsid w:val="00B8210D"/>
    <w:rsid w:val="00B82548"/>
    <w:rsid w:val="00B82ED0"/>
    <w:rsid w:val="00B82F24"/>
    <w:rsid w:val="00B836C7"/>
    <w:rsid w:val="00B84310"/>
    <w:rsid w:val="00B8432D"/>
    <w:rsid w:val="00B84576"/>
    <w:rsid w:val="00B84F98"/>
    <w:rsid w:val="00B8572B"/>
    <w:rsid w:val="00B85D5B"/>
    <w:rsid w:val="00B85EB0"/>
    <w:rsid w:val="00B86063"/>
    <w:rsid w:val="00B86145"/>
    <w:rsid w:val="00B864C0"/>
    <w:rsid w:val="00B8655A"/>
    <w:rsid w:val="00B86576"/>
    <w:rsid w:val="00B875CE"/>
    <w:rsid w:val="00B87BE8"/>
    <w:rsid w:val="00B87DD6"/>
    <w:rsid w:val="00B90092"/>
    <w:rsid w:val="00B9012E"/>
    <w:rsid w:val="00B905AC"/>
    <w:rsid w:val="00B90E66"/>
    <w:rsid w:val="00B91360"/>
    <w:rsid w:val="00B913B9"/>
    <w:rsid w:val="00B91CA2"/>
    <w:rsid w:val="00B91CF0"/>
    <w:rsid w:val="00B91EEA"/>
    <w:rsid w:val="00B9294C"/>
    <w:rsid w:val="00B92CC7"/>
    <w:rsid w:val="00B93062"/>
    <w:rsid w:val="00B937EA"/>
    <w:rsid w:val="00B93E61"/>
    <w:rsid w:val="00B94023"/>
    <w:rsid w:val="00B94192"/>
    <w:rsid w:val="00B949F0"/>
    <w:rsid w:val="00B95497"/>
    <w:rsid w:val="00B95972"/>
    <w:rsid w:val="00B95AC5"/>
    <w:rsid w:val="00B95E01"/>
    <w:rsid w:val="00B9604C"/>
    <w:rsid w:val="00B961B7"/>
    <w:rsid w:val="00B969D5"/>
    <w:rsid w:val="00B96E7B"/>
    <w:rsid w:val="00B96F2F"/>
    <w:rsid w:val="00B96FF6"/>
    <w:rsid w:val="00B97106"/>
    <w:rsid w:val="00B9743C"/>
    <w:rsid w:val="00B979FE"/>
    <w:rsid w:val="00BA03D0"/>
    <w:rsid w:val="00BA0661"/>
    <w:rsid w:val="00BA07ED"/>
    <w:rsid w:val="00BA0EC1"/>
    <w:rsid w:val="00BA1397"/>
    <w:rsid w:val="00BA254B"/>
    <w:rsid w:val="00BA27D9"/>
    <w:rsid w:val="00BA2A95"/>
    <w:rsid w:val="00BA3867"/>
    <w:rsid w:val="00BA4287"/>
    <w:rsid w:val="00BA49A2"/>
    <w:rsid w:val="00BA511F"/>
    <w:rsid w:val="00BA56AA"/>
    <w:rsid w:val="00BA5734"/>
    <w:rsid w:val="00BA5942"/>
    <w:rsid w:val="00BA5CBF"/>
    <w:rsid w:val="00BA5E06"/>
    <w:rsid w:val="00BA6315"/>
    <w:rsid w:val="00BA640B"/>
    <w:rsid w:val="00BA658C"/>
    <w:rsid w:val="00BA679F"/>
    <w:rsid w:val="00BA68B8"/>
    <w:rsid w:val="00BA68F4"/>
    <w:rsid w:val="00BA706D"/>
    <w:rsid w:val="00BA71CF"/>
    <w:rsid w:val="00BA7B54"/>
    <w:rsid w:val="00BA7D13"/>
    <w:rsid w:val="00BB00E5"/>
    <w:rsid w:val="00BB00FE"/>
    <w:rsid w:val="00BB0133"/>
    <w:rsid w:val="00BB03DF"/>
    <w:rsid w:val="00BB041C"/>
    <w:rsid w:val="00BB05EF"/>
    <w:rsid w:val="00BB075B"/>
    <w:rsid w:val="00BB0891"/>
    <w:rsid w:val="00BB0E6A"/>
    <w:rsid w:val="00BB133F"/>
    <w:rsid w:val="00BB13EB"/>
    <w:rsid w:val="00BB239D"/>
    <w:rsid w:val="00BB23C9"/>
    <w:rsid w:val="00BB251F"/>
    <w:rsid w:val="00BB256B"/>
    <w:rsid w:val="00BB27B6"/>
    <w:rsid w:val="00BB292C"/>
    <w:rsid w:val="00BB2A32"/>
    <w:rsid w:val="00BB34C4"/>
    <w:rsid w:val="00BB36BB"/>
    <w:rsid w:val="00BB3967"/>
    <w:rsid w:val="00BB3D11"/>
    <w:rsid w:val="00BB442E"/>
    <w:rsid w:val="00BB4A22"/>
    <w:rsid w:val="00BB56E0"/>
    <w:rsid w:val="00BB5837"/>
    <w:rsid w:val="00BB5900"/>
    <w:rsid w:val="00BB5D12"/>
    <w:rsid w:val="00BB5DD6"/>
    <w:rsid w:val="00BB5ECD"/>
    <w:rsid w:val="00BB5F2B"/>
    <w:rsid w:val="00BB627A"/>
    <w:rsid w:val="00BB64AF"/>
    <w:rsid w:val="00BB6552"/>
    <w:rsid w:val="00BB6CC3"/>
    <w:rsid w:val="00BB7563"/>
    <w:rsid w:val="00BB7867"/>
    <w:rsid w:val="00BB7D1A"/>
    <w:rsid w:val="00BC01E6"/>
    <w:rsid w:val="00BC0909"/>
    <w:rsid w:val="00BC12A0"/>
    <w:rsid w:val="00BC182F"/>
    <w:rsid w:val="00BC1939"/>
    <w:rsid w:val="00BC1B22"/>
    <w:rsid w:val="00BC1B3A"/>
    <w:rsid w:val="00BC1C63"/>
    <w:rsid w:val="00BC1D08"/>
    <w:rsid w:val="00BC1DAD"/>
    <w:rsid w:val="00BC2343"/>
    <w:rsid w:val="00BC2A3F"/>
    <w:rsid w:val="00BC2E9B"/>
    <w:rsid w:val="00BC30A0"/>
    <w:rsid w:val="00BC312D"/>
    <w:rsid w:val="00BC383E"/>
    <w:rsid w:val="00BC3935"/>
    <w:rsid w:val="00BC3D08"/>
    <w:rsid w:val="00BC45EB"/>
    <w:rsid w:val="00BC48C6"/>
    <w:rsid w:val="00BC49C4"/>
    <w:rsid w:val="00BC4CD6"/>
    <w:rsid w:val="00BC58D1"/>
    <w:rsid w:val="00BC6589"/>
    <w:rsid w:val="00BC671C"/>
    <w:rsid w:val="00BC704E"/>
    <w:rsid w:val="00BC776C"/>
    <w:rsid w:val="00BC7ADB"/>
    <w:rsid w:val="00BC7D37"/>
    <w:rsid w:val="00BC7FFB"/>
    <w:rsid w:val="00BD031B"/>
    <w:rsid w:val="00BD0450"/>
    <w:rsid w:val="00BD04C6"/>
    <w:rsid w:val="00BD1126"/>
    <w:rsid w:val="00BD130D"/>
    <w:rsid w:val="00BD176D"/>
    <w:rsid w:val="00BD188B"/>
    <w:rsid w:val="00BD1E10"/>
    <w:rsid w:val="00BD217A"/>
    <w:rsid w:val="00BD23E8"/>
    <w:rsid w:val="00BD2542"/>
    <w:rsid w:val="00BD26DC"/>
    <w:rsid w:val="00BD2992"/>
    <w:rsid w:val="00BD2A60"/>
    <w:rsid w:val="00BD2AB7"/>
    <w:rsid w:val="00BD2D22"/>
    <w:rsid w:val="00BD3BA8"/>
    <w:rsid w:val="00BD4087"/>
    <w:rsid w:val="00BD4316"/>
    <w:rsid w:val="00BD43DF"/>
    <w:rsid w:val="00BD5171"/>
    <w:rsid w:val="00BD54C3"/>
    <w:rsid w:val="00BD59F9"/>
    <w:rsid w:val="00BD6ABD"/>
    <w:rsid w:val="00BD71D3"/>
    <w:rsid w:val="00BD73C9"/>
    <w:rsid w:val="00BD7A76"/>
    <w:rsid w:val="00BE0192"/>
    <w:rsid w:val="00BE0689"/>
    <w:rsid w:val="00BE072B"/>
    <w:rsid w:val="00BE0AB1"/>
    <w:rsid w:val="00BE0B4C"/>
    <w:rsid w:val="00BE0C09"/>
    <w:rsid w:val="00BE0E6A"/>
    <w:rsid w:val="00BE0F96"/>
    <w:rsid w:val="00BE12B1"/>
    <w:rsid w:val="00BE1907"/>
    <w:rsid w:val="00BE1D48"/>
    <w:rsid w:val="00BE1D79"/>
    <w:rsid w:val="00BE2076"/>
    <w:rsid w:val="00BE212A"/>
    <w:rsid w:val="00BE2479"/>
    <w:rsid w:val="00BE28E2"/>
    <w:rsid w:val="00BE2E25"/>
    <w:rsid w:val="00BE3061"/>
    <w:rsid w:val="00BE3C48"/>
    <w:rsid w:val="00BE3EDB"/>
    <w:rsid w:val="00BE4B44"/>
    <w:rsid w:val="00BE5CD2"/>
    <w:rsid w:val="00BE5D60"/>
    <w:rsid w:val="00BE5EDF"/>
    <w:rsid w:val="00BE629B"/>
    <w:rsid w:val="00BE63B2"/>
    <w:rsid w:val="00BE6B37"/>
    <w:rsid w:val="00BE7487"/>
    <w:rsid w:val="00BE773B"/>
    <w:rsid w:val="00BE78A6"/>
    <w:rsid w:val="00BE7D1C"/>
    <w:rsid w:val="00BF0F46"/>
    <w:rsid w:val="00BF16E2"/>
    <w:rsid w:val="00BF1883"/>
    <w:rsid w:val="00BF19D3"/>
    <w:rsid w:val="00BF1D35"/>
    <w:rsid w:val="00BF20F7"/>
    <w:rsid w:val="00BF218F"/>
    <w:rsid w:val="00BF26C7"/>
    <w:rsid w:val="00BF2E14"/>
    <w:rsid w:val="00BF3538"/>
    <w:rsid w:val="00BF3A71"/>
    <w:rsid w:val="00BF3B30"/>
    <w:rsid w:val="00BF3ED0"/>
    <w:rsid w:val="00BF4489"/>
    <w:rsid w:val="00BF48EE"/>
    <w:rsid w:val="00BF4A39"/>
    <w:rsid w:val="00BF4D3D"/>
    <w:rsid w:val="00BF527A"/>
    <w:rsid w:val="00BF54B4"/>
    <w:rsid w:val="00BF578E"/>
    <w:rsid w:val="00BF5821"/>
    <w:rsid w:val="00BF58C2"/>
    <w:rsid w:val="00BF5BD9"/>
    <w:rsid w:val="00BF605A"/>
    <w:rsid w:val="00BF6629"/>
    <w:rsid w:val="00BF68FF"/>
    <w:rsid w:val="00BF6DE7"/>
    <w:rsid w:val="00BF6E42"/>
    <w:rsid w:val="00BF6FC2"/>
    <w:rsid w:val="00BF703B"/>
    <w:rsid w:val="00BF70C5"/>
    <w:rsid w:val="00BF75CA"/>
    <w:rsid w:val="00BF76D9"/>
    <w:rsid w:val="00BF7BBB"/>
    <w:rsid w:val="00C003A5"/>
    <w:rsid w:val="00C009DE"/>
    <w:rsid w:val="00C00CE8"/>
    <w:rsid w:val="00C00D82"/>
    <w:rsid w:val="00C010FE"/>
    <w:rsid w:val="00C01C06"/>
    <w:rsid w:val="00C01F04"/>
    <w:rsid w:val="00C0220C"/>
    <w:rsid w:val="00C0221C"/>
    <w:rsid w:val="00C02882"/>
    <w:rsid w:val="00C02C14"/>
    <w:rsid w:val="00C03205"/>
    <w:rsid w:val="00C039E9"/>
    <w:rsid w:val="00C03F10"/>
    <w:rsid w:val="00C04292"/>
    <w:rsid w:val="00C047BB"/>
    <w:rsid w:val="00C04B2D"/>
    <w:rsid w:val="00C052A5"/>
    <w:rsid w:val="00C052C1"/>
    <w:rsid w:val="00C056F4"/>
    <w:rsid w:val="00C05808"/>
    <w:rsid w:val="00C05AB3"/>
    <w:rsid w:val="00C05B92"/>
    <w:rsid w:val="00C05DB7"/>
    <w:rsid w:val="00C060DB"/>
    <w:rsid w:val="00C06100"/>
    <w:rsid w:val="00C0634C"/>
    <w:rsid w:val="00C065F6"/>
    <w:rsid w:val="00C06897"/>
    <w:rsid w:val="00C07BAD"/>
    <w:rsid w:val="00C07EA3"/>
    <w:rsid w:val="00C101C9"/>
    <w:rsid w:val="00C108DA"/>
    <w:rsid w:val="00C10907"/>
    <w:rsid w:val="00C10942"/>
    <w:rsid w:val="00C10C11"/>
    <w:rsid w:val="00C10E0A"/>
    <w:rsid w:val="00C113E3"/>
    <w:rsid w:val="00C11822"/>
    <w:rsid w:val="00C11D04"/>
    <w:rsid w:val="00C12492"/>
    <w:rsid w:val="00C125CB"/>
    <w:rsid w:val="00C12608"/>
    <w:rsid w:val="00C1264D"/>
    <w:rsid w:val="00C126B4"/>
    <w:rsid w:val="00C12AF1"/>
    <w:rsid w:val="00C12B44"/>
    <w:rsid w:val="00C12D8A"/>
    <w:rsid w:val="00C1330B"/>
    <w:rsid w:val="00C13802"/>
    <w:rsid w:val="00C1391C"/>
    <w:rsid w:val="00C13F79"/>
    <w:rsid w:val="00C13FE6"/>
    <w:rsid w:val="00C1489A"/>
    <w:rsid w:val="00C14B15"/>
    <w:rsid w:val="00C1529B"/>
    <w:rsid w:val="00C15380"/>
    <w:rsid w:val="00C156EA"/>
    <w:rsid w:val="00C15985"/>
    <w:rsid w:val="00C15D2A"/>
    <w:rsid w:val="00C15D6E"/>
    <w:rsid w:val="00C16053"/>
    <w:rsid w:val="00C1615A"/>
    <w:rsid w:val="00C163F5"/>
    <w:rsid w:val="00C16C01"/>
    <w:rsid w:val="00C16D7D"/>
    <w:rsid w:val="00C17296"/>
    <w:rsid w:val="00C174F7"/>
    <w:rsid w:val="00C179DE"/>
    <w:rsid w:val="00C17A06"/>
    <w:rsid w:val="00C17B25"/>
    <w:rsid w:val="00C201F1"/>
    <w:rsid w:val="00C20260"/>
    <w:rsid w:val="00C20615"/>
    <w:rsid w:val="00C20F2C"/>
    <w:rsid w:val="00C210C0"/>
    <w:rsid w:val="00C219E6"/>
    <w:rsid w:val="00C22DB0"/>
    <w:rsid w:val="00C235F5"/>
    <w:rsid w:val="00C23C15"/>
    <w:rsid w:val="00C249E4"/>
    <w:rsid w:val="00C250DE"/>
    <w:rsid w:val="00C25228"/>
    <w:rsid w:val="00C25462"/>
    <w:rsid w:val="00C25801"/>
    <w:rsid w:val="00C25C62"/>
    <w:rsid w:val="00C25E8B"/>
    <w:rsid w:val="00C260C8"/>
    <w:rsid w:val="00C268DA"/>
    <w:rsid w:val="00C26BF5"/>
    <w:rsid w:val="00C27213"/>
    <w:rsid w:val="00C302FF"/>
    <w:rsid w:val="00C30394"/>
    <w:rsid w:val="00C305C7"/>
    <w:rsid w:val="00C31211"/>
    <w:rsid w:val="00C316C9"/>
    <w:rsid w:val="00C3179A"/>
    <w:rsid w:val="00C31A80"/>
    <w:rsid w:val="00C32468"/>
    <w:rsid w:val="00C32959"/>
    <w:rsid w:val="00C32996"/>
    <w:rsid w:val="00C3310B"/>
    <w:rsid w:val="00C332B7"/>
    <w:rsid w:val="00C338F2"/>
    <w:rsid w:val="00C33901"/>
    <w:rsid w:val="00C33943"/>
    <w:rsid w:val="00C33DDA"/>
    <w:rsid w:val="00C33EEB"/>
    <w:rsid w:val="00C3400A"/>
    <w:rsid w:val="00C3412D"/>
    <w:rsid w:val="00C343C9"/>
    <w:rsid w:val="00C343F8"/>
    <w:rsid w:val="00C345A6"/>
    <w:rsid w:val="00C349E0"/>
    <w:rsid w:val="00C34A97"/>
    <w:rsid w:val="00C34AD5"/>
    <w:rsid w:val="00C34C98"/>
    <w:rsid w:val="00C351C1"/>
    <w:rsid w:val="00C35C76"/>
    <w:rsid w:val="00C36244"/>
    <w:rsid w:val="00C3699E"/>
    <w:rsid w:val="00C36EAA"/>
    <w:rsid w:val="00C370F9"/>
    <w:rsid w:val="00C37210"/>
    <w:rsid w:val="00C3735A"/>
    <w:rsid w:val="00C37A4F"/>
    <w:rsid w:val="00C37C15"/>
    <w:rsid w:val="00C37CDF"/>
    <w:rsid w:val="00C40431"/>
    <w:rsid w:val="00C40676"/>
    <w:rsid w:val="00C40950"/>
    <w:rsid w:val="00C40E99"/>
    <w:rsid w:val="00C41241"/>
    <w:rsid w:val="00C41412"/>
    <w:rsid w:val="00C416FF"/>
    <w:rsid w:val="00C41734"/>
    <w:rsid w:val="00C41913"/>
    <w:rsid w:val="00C41B1C"/>
    <w:rsid w:val="00C41BDA"/>
    <w:rsid w:val="00C42097"/>
    <w:rsid w:val="00C4230A"/>
    <w:rsid w:val="00C42401"/>
    <w:rsid w:val="00C42675"/>
    <w:rsid w:val="00C4275B"/>
    <w:rsid w:val="00C42D3D"/>
    <w:rsid w:val="00C42F46"/>
    <w:rsid w:val="00C42FC9"/>
    <w:rsid w:val="00C43753"/>
    <w:rsid w:val="00C43BE6"/>
    <w:rsid w:val="00C43D7E"/>
    <w:rsid w:val="00C44905"/>
    <w:rsid w:val="00C45274"/>
    <w:rsid w:val="00C456A7"/>
    <w:rsid w:val="00C45CD3"/>
    <w:rsid w:val="00C45FD7"/>
    <w:rsid w:val="00C469F4"/>
    <w:rsid w:val="00C471B5"/>
    <w:rsid w:val="00C474D4"/>
    <w:rsid w:val="00C47694"/>
    <w:rsid w:val="00C47B85"/>
    <w:rsid w:val="00C47E2D"/>
    <w:rsid w:val="00C47E76"/>
    <w:rsid w:val="00C47FD5"/>
    <w:rsid w:val="00C47FF7"/>
    <w:rsid w:val="00C5010C"/>
    <w:rsid w:val="00C502B4"/>
    <w:rsid w:val="00C50C15"/>
    <w:rsid w:val="00C51813"/>
    <w:rsid w:val="00C51C27"/>
    <w:rsid w:val="00C51DAF"/>
    <w:rsid w:val="00C51DD6"/>
    <w:rsid w:val="00C521FE"/>
    <w:rsid w:val="00C523F3"/>
    <w:rsid w:val="00C52DB6"/>
    <w:rsid w:val="00C53FAB"/>
    <w:rsid w:val="00C53FC1"/>
    <w:rsid w:val="00C5438C"/>
    <w:rsid w:val="00C54634"/>
    <w:rsid w:val="00C54CC3"/>
    <w:rsid w:val="00C54D38"/>
    <w:rsid w:val="00C55139"/>
    <w:rsid w:val="00C5540E"/>
    <w:rsid w:val="00C555E4"/>
    <w:rsid w:val="00C557C9"/>
    <w:rsid w:val="00C55850"/>
    <w:rsid w:val="00C55A6C"/>
    <w:rsid w:val="00C55C7A"/>
    <w:rsid w:val="00C55FFE"/>
    <w:rsid w:val="00C56127"/>
    <w:rsid w:val="00C567AF"/>
    <w:rsid w:val="00C56DAC"/>
    <w:rsid w:val="00C56F8F"/>
    <w:rsid w:val="00C5717F"/>
    <w:rsid w:val="00C57197"/>
    <w:rsid w:val="00C571CA"/>
    <w:rsid w:val="00C57CF9"/>
    <w:rsid w:val="00C600AC"/>
    <w:rsid w:val="00C60336"/>
    <w:rsid w:val="00C6063B"/>
    <w:rsid w:val="00C61361"/>
    <w:rsid w:val="00C613A9"/>
    <w:rsid w:val="00C6188E"/>
    <w:rsid w:val="00C61F46"/>
    <w:rsid w:val="00C620AF"/>
    <w:rsid w:val="00C62CBE"/>
    <w:rsid w:val="00C632F2"/>
    <w:rsid w:val="00C6335D"/>
    <w:rsid w:val="00C63990"/>
    <w:rsid w:val="00C63DC2"/>
    <w:rsid w:val="00C64325"/>
    <w:rsid w:val="00C645E7"/>
    <w:rsid w:val="00C648CE"/>
    <w:rsid w:val="00C64CB3"/>
    <w:rsid w:val="00C64D96"/>
    <w:rsid w:val="00C6508A"/>
    <w:rsid w:val="00C65141"/>
    <w:rsid w:val="00C651D7"/>
    <w:rsid w:val="00C6522D"/>
    <w:rsid w:val="00C652F0"/>
    <w:rsid w:val="00C65382"/>
    <w:rsid w:val="00C653D3"/>
    <w:rsid w:val="00C654C7"/>
    <w:rsid w:val="00C659F5"/>
    <w:rsid w:val="00C65C46"/>
    <w:rsid w:val="00C6612E"/>
    <w:rsid w:val="00C66A86"/>
    <w:rsid w:val="00C67200"/>
    <w:rsid w:val="00C67295"/>
    <w:rsid w:val="00C6798E"/>
    <w:rsid w:val="00C67D3A"/>
    <w:rsid w:val="00C67F91"/>
    <w:rsid w:val="00C7078E"/>
    <w:rsid w:val="00C70BD9"/>
    <w:rsid w:val="00C70C52"/>
    <w:rsid w:val="00C70D67"/>
    <w:rsid w:val="00C71B1E"/>
    <w:rsid w:val="00C71E03"/>
    <w:rsid w:val="00C72016"/>
    <w:rsid w:val="00C72952"/>
    <w:rsid w:val="00C72CC9"/>
    <w:rsid w:val="00C734D1"/>
    <w:rsid w:val="00C74A1F"/>
    <w:rsid w:val="00C74C81"/>
    <w:rsid w:val="00C75760"/>
    <w:rsid w:val="00C771B9"/>
    <w:rsid w:val="00C77232"/>
    <w:rsid w:val="00C77736"/>
    <w:rsid w:val="00C77DEA"/>
    <w:rsid w:val="00C8036C"/>
    <w:rsid w:val="00C81035"/>
    <w:rsid w:val="00C81037"/>
    <w:rsid w:val="00C810C0"/>
    <w:rsid w:val="00C81174"/>
    <w:rsid w:val="00C81444"/>
    <w:rsid w:val="00C81E71"/>
    <w:rsid w:val="00C82549"/>
    <w:rsid w:val="00C82978"/>
    <w:rsid w:val="00C83505"/>
    <w:rsid w:val="00C836D2"/>
    <w:rsid w:val="00C83C7E"/>
    <w:rsid w:val="00C84456"/>
    <w:rsid w:val="00C8478F"/>
    <w:rsid w:val="00C84973"/>
    <w:rsid w:val="00C84AB4"/>
    <w:rsid w:val="00C84DB1"/>
    <w:rsid w:val="00C84E9D"/>
    <w:rsid w:val="00C850D9"/>
    <w:rsid w:val="00C8514D"/>
    <w:rsid w:val="00C8524B"/>
    <w:rsid w:val="00C85480"/>
    <w:rsid w:val="00C85967"/>
    <w:rsid w:val="00C859A6"/>
    <w:rsid w:val="00C85BBD"/>
    <w:rsid w:val="00C85F26"/>
    <w:rsid w:val="00C866B2"/>
    <w:rsid w:val="00C86736"/>
    <w:rsid w:val="00C86C03"/>
    <w:rsid w:val="00C86D6A"/>
    <w:rsid w:val="00C870F7"/>
    <w:rsid w:val="00C90166"/>
    <w:rsid w:val="00C90434"/>
    <w:rsid w:val="00C90AD9"/>
    <w:rsid w:val="00C90C43"/>
    <w:rsid w:val="00C90CA0"/>
    <w:rsid w:val="00C90D47"/>
    <w:rsid w:val="00C9106C"/>
    <w:rsid w:val="00C91D49"/>
    <w:rsid w:val="00C921F7"/>
    <w:rsid w:val="00C92ACB"/>
    <w:rsid w:val="00C934E1"/>
    <w:rsid w:val="00C937F4"/>
    <w:rsid w:val="00C93A5A"/>
    <w:rsid w:val="00C93AB8"/>
    <w:rsid w:val="00C93FAC"/>
    <w:rsid w:val="00C94273"/>
    <w:rsid w:val="00C944C8"/>
    <w:rsid w:val="00C95D41"/>
    <w:rsid w:val="00C963BF"/>
    <w:rsid w:val="00C96B63"/>
    <w:rsid w:val="00C96B95"/>
    <w:rsid w:val="00C96FBF"/>
    <w:rsid w:val="00C970D0"/>
    <w:rsid w:val="00C9718C"/>
    <w:rsid w:val="00C972A1"/>
    <w:rsid w:val="00C973F6"/>
    <w:rsid w:val="00C9792E"/>
    <w:rsid w:val="00C97A7C"/>
    <w:rsid w:val="00C97CB8"/>
    <w:rsid w:val="00CA036D"/>
    <w:rsid w:val="00CA05F6"/>
    <w:rsid w:val="00CA0A5C"/>
    <w:rsid w:val="00CA0DE2"/>
    <w:rsid w:val="00CA165D"/>
    <w:rsid w:val="00CA19CF"/>
    <w:rsid w:val="00CA1A19"/>
    <w:rsid w:val="00CA1E01"/>
    <w:rsid w:val="00CA2BE9"/>
    <w:rsid w:val="00CA2F0C"/>
    <w:rsid w:val="00CA2F88"/>
    <w:rsid w:val="00CA312A"/>
    <w:rsid w:val="00CA3247"/>
    <w:rsid w:val="00CA3336"/>
    <w:rsid w:val="00CA3897"/>
    <w:rsid w:val="00CA3C1D"/>
    <w:rsid w:val="00CA3D34"/>
    <w:rsid w:val="00CA3EA6"/>
    <w:rsid w:val="00CA4396"/>
    <w:rsid w:val="00CA45F9"/>
    <w:rsid w:val="00CA4645"/>
    <w:rsid w:val="00CA5589"/>
    <w:rsid w:val="00CA5858"/>
    <w:rsid w:val="00CA6B45"/>
    <w:rsid w:val="00CA73EA"/>
    <w:rsid w:val="00CA7EE0"/>
    <w:rsid w:val="00CB0067"/>
    <w:rsid w:val="00CB0209"/>
    <w:rsid w:val="00CB0846"/>
    <w:rsid w:val="00CB09A6"/>
    <w:rsid w:val="00CB0B4D"/>
    <w:rsid w:val="00CB0E67"/>
    <w:rsid w:val="00CB0E77"/>
    <w:rsid w:val="00CB1B93"/>
    <w:rsid w:val="00CB206F"/>
    <w:rsid w:val="00CB2139"/>
    <w:rsid w:val="00CB2514"/>
    <w:rsid w:val="00CB2533"/>
    <w:rsid w:val="00CB27EE"/>
    <w:rsid w:val="00CB29CD"/>
    <w:rsid w:val="00CB2EB5"/>
    <w:rsid w:val="00CB34A2"/>
    <w:rsid w:val="00CB380C"/>
    <w:rsid w:val="00CB3813"/>
    <w:rsid w:val="00CB397F"/>
    <w:rsid w:val="00CB3AE9"/>
    <w:rsid w:val="00CB405E"/>
    <w:rsid w:val="00CB45ED"/>
    <w:rsid w:val="00CB4F82"/>
    <w:rsid w:val="00CB57B4"/>
    <w:rsid w:val="00CB59B1"/>
    <w:rsid w:val="00CB605D"/>
    <w:rsid w:val="00CB643E"/>
    <w:rsid w:val="00CB6BFC"/>
    <w:rsid w:val="00CB7312"/>
    <w:rsid w:val="00CB7496"/>
    <w:rsid w:val="00CB7839"/>
    <w:rsid w:val="00CC0251"/>
    <w:rsid w:val="00CC042E"/>
    <w:rsid w:val="00CC07B6"/>
    <w:rsid w:val="00CC0811"/>
    <w:rsid w:val="00CC114E"/>
    <w:rsid w:val="00CC138E"/>
    <w:rsid w:val="00CC180B"/>
    <w:rsid w:val="00CC1D0B"/>
    <w:rsid w:val="00CC1DB4"/>
    <w:rsid w:val="00CC229E"/>
    <w:rsid w:val="00CC2320"/>
    <w:rsid w:val="00CC2F78"/>
    <w:rsid w:val="00CC351B"/>
    <w:rsid w:val="00CC3639"/>
    <w:rsid w:val="00CC36CE"/>
    <w:rsid w:val="00CC3740"/>
    <w:rsid w:val="00CC3912"/>
    <w:rsid w:val="00CC3D1E"/>
    <w:rsid w:val="00CC3E65"/>
    <w:rsid w:val="00CC4019"/>
    <w:rsid w:val="00CC41EB"/>
    <w:rsid w:val="00CC42C4"/>
    <w:rsid w:val="00CC4885"/>
    <w:rsid w:val="00CC4EA9"/>
    <w:rsid w:val="00CC5500"/>
    <w:rsid w:val="00CC5602"/>
    <w:rsid w:val="00CC5AA3"/>
    <w:rsid w:val="00CC5E1B"/>
    <w:rsid w:val="00CC5F44"/>
    <w:rsid w:val="00CC60A7"/>
    <w:rsid w:val="00CC6517"/>
    <w:rsid w:val="00CC6953"/>
    <w:rsid w:val="00CC6B3E"/>
    <w:rsid w:val="00CC717E"/>
    <w:rsid w:val="00CC78B3"/>
    <w:rsid w:val="00CC7A23"/>
    <w:rsid w:val="00CC7D2F"/>
    <w:rsid w:val="00CC7E8C"/>
    <w:rsid w:val="00CD05A0"/>
    <w:rsid w:val="00CD07EF"/>
    <w:rsid w:val="00CD1103"/>
    <w:rsid w:val="00CD1311"/>
    <w:rsid w:val="00CD1744"/>
    <w:rsid w:val="00CD18A0"/>
    <w:rsid w:val="00CD226B"/>
    <w:rsid w:val="00CD230F"/>
    <w:rsid w:val="00CD23D2"/>
    <w:rsid w:val="00CD2E83"/>
    <w:rsid w:val="00CD3103"/>
    <w:rsid w:val="00CD3145"/>
    <w:rsid w:val="00CD37AC"/>
    <w:rsid w:val="00CD4816"/>
    <w:rsid w:val="00CD4E41"/>
    <w:rsid w:val="00CD4F2A"/>
    <w:rsid w:val="00CD5097"/>
    <w:rsid w:val="00CD5248"/>
    <w:rsid w:val="00CD567D"/>
    <w:rsid w:val="00CD58B5"/>
    <w:rsid w:val="00CD59E0"/>
    <w:rsid w:val="00CD5C96"/>
    <w:rsid w:val="00CD5F59"/>
    <w:rsid w:val="00CD6111"/>
    <w:rsid w:val="00CD64CE"/>
    <w:rsid w:val="00CD68F9"/>
    <w:rsid w:val="00CD69B3"/>
    <w:rsid w:val="00CD755C"/>
    <w:rsid w:val="00CD7662"/>
    <w:rsid w:val="00CD77C0"/>
    <w:rsid w:val="00CD7B2E"/>
    <w:rsid w:val="00CD7D0C"/>
    <w:rsid w:val="00CE0157"/>
    <w:rsid w:val="00CE03A7"/>
    <w:rsid w:val="00CE0734"/>
    <w:rsid w:val="00CE0B68"/>
    <w:rsid w:val="00CE0C95"/>
    <w:rsid w:val="00CE159A"/>
    <w:rsid w:val="00CE15A4"/>
    <w:rsid w:val="00CE1CF1"/>
    <w:rsid w:val="00CE1F66"/>
    <w:rsid w:val="00CE2686"/>
    <w:rsid w:val="00CE325D"/>
    <w:rsid w:val="00CE3B4C"/>
    <w:rsid w:val="00CE3C1C"/>
    <w:rsid w:val="00CE48FA"/>
    <w:rsid w:val="00CE4EA1"/>
    <w:rsid w:val="00CE51CE"/>
    <w:rsid w:val="00CE528F"/>
    <w:rsid w:val="00CE5B3E"/>
    <w:rsid w:val="00CE5C54"/>
    <w:rsid w:val="00CE60C7"/>
    <w:rsid w:val="00CE6FA2"/>
    <w:rsid w:val="00CE7735"/>
    <w:rsid w:val="00CE79D2"/>
    <w:rsid w:val="00CEC2A5"/>
    <w:rsid w:val="00CF0817"/>
    <w:rsid w:val="00CF0939"/>
    <w:rsid w:val="00CF0953"/>
    <w:rsid w:val="00CF0C16"/>
    <w:rsid w:val="00CF0DD1"/>
    <w:rsid w:val="00CF180A"/>
    <w:rsid w:val="00CF1B80"/>
    <w:rsid w:val="00CF1B99"/>
    <w:rsid w:val="00CF1F05"/>
    <w:rsid w:val="00CF2126"/>
    <w:rsid w:val="00CF247E"/>
    <w:rsid w:val="00CF263F"/>
    <w:rsid w:val="00CF3644"/>
    <w:rsid w:val="00CF3995"/>
    <w:rsid w:val="00CF3AB2"/>
    <w:rsid w:val="00CF3E4F"/>
    <w:rsid w:val="00CF3F2E"/>
    <w:rsid w:val="00CF3FB8"/>
    <w:rsid w:val="00CF406C"/>
    <w:rsid w:val="00CF5D37"/>
    <w:rsid w:val="00CF5E6B"/>
    <w:rsid w:val="00CF5F14"/>
    <w:rsid w:val="00CF6889"/>
    <w:rsid w:val="00CF6C43"/>
    <w:rsid w:val="00CF6C9A"/>
    <w:rsid w:val="00D00C8F"/>
    <w:rsid w:val="00D00D8F"/>
    <w:rsid w:val="00D01EF1"/>
    <w:rsid w:val="00D02C23"/>
    <w:rsid w:val="00D02E49"/>
    <w:rsid w:val="00D030C0"/>
    <w:rsid w:val="00D033EE"/>
    <w:rsid w:val="00D0361E"/>
    <w:rsid w:val="00D03764"/>
    <w:rsid w:val="00D03E3F"/>
    <w:rsid w:val="00D0428C"/>
    <w:rsid w:val="00D053BF"/>
    <w:rsid w:val="00D057F3"/>
    <w:rsid w:val="00D05E31"/>
    <w:rsid w:val="00D06233"/>
    <w:rsid w:val="00D06719"/>
    <w:rsid w:val="00D068D3"/>
    <w:rsid w:val="00D06995"/>
    <w:rsid w:val="00D06B74"/>
    <w:rsid w:val="00D0798B"/>
    <w:rsid w:val="00D07AD5"/>
    <w:rsid w:val="00D08D2D"/>
    <w:rsid w:val="00D0AA7B"/>
    <w:rsid w:val="00D10110"/>
    <w:rsid w:val="00D11A19"/>
    <w:rsid w:val="00D11BA7"/>
    <w:rsid w:val="00D11F89"/>
    <w:rsid w:val="00D12FBA"/>
    <w:rsid w:val="00D12FDD"/>
    <w:rsid w:val="00D13191"/>
    <w:rsid w:val="00D133E6"/>
    <w:rsid w:val="00D135AB"/>
    <w:rsid w:val="00D13FBD"/>
    <w:rsid w:val="00D14086"/>
    <w:rsid w:val="00D14430"/>
    <w:rsid w:val="00D14D77"/>
    <w:rsid w:val="00D15171"/>
    <w:rsid w:val="00D15296"/>
    <w:rsid w:val="00D15386"/>
    <w:rsid w:val="00D15ABD"/>
    <w:rsid w:val="00D15CA4"/>
    <w:rsid w:val="00D16366"/>
    <w:rsid w:val="00D16376"/>
    <w:rsid w:val="00D16C5D"/>
    <w:rsid w:val="00D16F25"/>
    <w:rsid w:val="00D17C57"/>
    <w:rsid w:val="00D17E1C"/>
    <w:rsid w:val="00D20CAC"/>
    <w:rsid w:val="00D20DBA"/>
    <w:rsid w:val="00D20E38"/>
    <w:rsid w:val="00D21182"/>
    <w:rsid w:val="00D2145E"/>
    <w:rsid w:val="00D22195"/>
    <w:rsid w:val="00D22D3E"/>
    <w:rsid w:val="00D22D84"/>
    <w:rsid w:val="00D22F69"/>
    <w:rsid w:val="00D2370E"/>
    <w:rsid w:val="00D24205"/>
    <w:rsid w:val="00D24456"/>
    <w:rsid w:val="00D24838"/>
    <w:rsid w:val="00D24A04"/>
    <w:rsid w:val="00D24D8A"/>
    <w:rsid w:val="00D25196"/>
    <w:rsid w:val="00D25219"/>
    <w:rsid w:val="00D25282"/>
    <w:rsid w:val="00D252DC"/>
    <w:rsid w:val="00D25827"/>
    <w:rsid w:val="00D2582C"/>
    <w:rsid w:val="00D258A5"/>
    <w:rsid w:val="00D26774"/>
    <w:rsid w:val="00D26999"/>
    <w:rsid w:val="00D26D09"/>
    <w:rsid w:val="00D26ED1"/>
    <w:rsid w:val="00D26F92"/>
    <w:rsid w:val="00D2728F"/>
    <w:rsid w:val="00D27655"/>
    <w:rsid w:val="00D2790E"/>
    <w:rsid w:val="00D30493"/>
    <w:rsid w:val="00D310FB"/>
    <w:rsid w:val="00D3121C"/>
    <w:rsid w:val="00D318B5"/>
    <w:rsid w:val="00D31B9A"/>
    <w:rsid w:val="00D3213A"/>
    <w:rsid w:val="00D32162"/>
    <w:rsid w:val="00D3262A"/>
    <w:rsid w:val="00D32C2D"/>
    <w:rsid w:val="00D330BF"/>
    <w:rsid w:val="00D332AF"/>
    <w:rsid w:val="00D333CC"/>
    <w:rsid w:val="00D33FEA"/>
    <w:rsid w:val="00D341B6"/>
    <w:rsid w:val="00D342BF"/>
    <w:rsid w:val="00D34459"/>
    <w:rsid w:val="00D34638"/>
    <w:rsid w:val="00D34C33"/>
    <w:rsid w:val="00D34D61"/>
    <w:rsid w:val="00D351F0"/>
    <w:rsid w:val="00D352D7"/>
    <w:rsid w:val="00D35602"/>
    <w:rsid w:val="00D359BB"/>
    <w:rsid w:val="00D36078"/>
    <w:rsid w:val="00D36641"/>
    <w:rsid w:val="00D36F3A"/>
    <w:rsid w:val="00D37F62"/>
    <w:rsid w:val="00D405D6"/>
    <w:rsid w:val="00D406FA"/>
    <w:rsid w:val="00D40763"/>
    <w:rsid w:val="00D40779"/>
    <w:rsid w:val="00D40C6F"/>
    <w:rsid w:val="00D40FAB"/>
    <w:rsid w:val="00D4108A"/>
    <w:rsid w:val="00D410D7"/>
    <w:rsid w:val="00D41445"/>
    <w:rsid w:val="00D421A3"/>
    <w:rsid w:val="00D429FB"/>
    <w:rsid w:val="00D43888"/>
    <w:rsid w:val="00D43B96"/>
    <w:rsid w:val="00D43F68"/>
    <w:rsid w:val="00D441B7"/>
    <w:rsid w:val="00D444AA"/>
    <w:rsid w:val="00D448E4"/>
    <w:rsid w:val="00D44AA5"/>
    <w:rsid w:val="00D44F1C"/>
    <w:rsid w:val="00D45495"/>
    <w:rsid w:val="00D46174"/>
    <w:rsid w:val="00D46FA1"/>
    <w:rsid w:val="00D47006"/>
    <w:rsid w:val="00D471D8"/>
    <w:rsid w:val="00D475C2"/>
    <w:rsid w:val="00D47912"/>
    <w:rsid w:val="00D5067C"/>
    <w:rsid w:val="00D5086D"/>
    <w:rsid w:val="00D508C3"/>
    <w:rsid w:val="00D50B61"/>
    <w:rsid w:val="00D50B7C"/>
    <w:rsid w:val="00D510E7"/>
    <w:rsid w:val="00D5110E"/>
    <w:rsid w:val="00D51151"/>
    <w:rsid w:val="00D514FD"/>
    <w:rsid w:val="00D51DCB"/>
    <w:rsid w:val="00D52275"/>
    <w:rsid w:val="00D525A9"/>
    <w:rsid w:val="00D52E24"/>
    <w:rsid w:val="00D52E7D"/>
    <w:rsid w:val="00D52FDA"/>
    <w:rsid w:val="00D530D3"/>
    <w:rsid w:val="00D53900"/>
    <w:rsid w:val="00D5394D"/>
    <w:rsid w:val="00D539AC"/>
    <w:rsid w:val="00D54118"/>
    <w:rsid w:val="00D54DB8"/>
    <w:rsid w:val="00D54EE9"/>
    <w:rsid w:val="00D561BF"/>
    <w:rsid w:val="00D561F4"/>
    <w:rsid w:val="00D562E7"/>
    <w:rsid w:val="00D56FB9"/>
    <w:rsid w:val="00D57CDF"/>
    <w:rsid w:val="00D601C9"/>
    <w:rsid w:val="00D61480"/>
    <w:rsid w:val="00D61897"/>
    <w:rsid w:val="00D618D1"/>
    <w:rsid w:val="00D61B6E"/>
    <w:rsid w:val="00D61B78"/>
    <w:rsid w:val="00D6244B"/>
    <w:rsid w:val="00D6338D"/>
    <w:rsid w:val="00D638BA"/>
    <w:rsid w:val="00D6424F"/>
    <w:rsid w:val="00D64387"/>
    <w:rsid w:val="00D64564"/>
    <w:rsid w:val="00D64884"/>
    <w:rsid w:val="00D64B67"/>
    <w:rsid w:val="00D64F6A"/>
    <w:rsid w:val="00D65703"/>
    <w:rsid w:val="00D6584A"/>
    <w:rsid w:val="00D65A47"/>
    <w:rsid w:val="00D65CCE"/>
    <w:rsid w:val="00D66038"/>
    <w:rsid w:val="00D661E0"/>
    <w:rsid w:val="00D66B77"/>
    <w:rsid w:val="00D66DB7"/>
    <w:rsid w:val="00D67736"/>
    <w:rsid w:val="00D67F34"/>
    <w:rsid w:val="00D7009F"/>
    <w:rsid w:val="00D70B2E"/>
    <w:rsid w:val="00D70C50"/>
    <w:rsid w:val="00D71028"/>
    <w:rsid w:val="00D7142D"/>
    <w:rsid w:val="00D717F5"/>
    <w:rsid w:val="00D71A9D"/>
    <w:rsid w:val="00D71C3B"/>
    <w:rsid w:val="00D71C43"/>
    <w:rsid w:val="00D71C96"/>
    <w:rsid w:val="00D71E51"/>
    <w:rsid w:val="00D721BF"/>
    <w:rsid w:val="00D72637"/>
    <w:rsid w:val="00D72E99"/>
    <w:rsid w:val="00D7321D"/>
    <w:rsid w:val="00D737D7"/>
    <w:rsid w:val="00D737E4"/>
    <w:rsid w:val="00D73831"/>
    <w:rsid w:val="00D7461D"/>
    <w:rsid w:val="00D74737"/>
    <w:rsid w:val="00D748CC"/>
    <w:rsid w:val="00D74E8B"/>
    <w:rsid w:val="00D755AE"/>
    <w:rsid w:val="00D7560C"/>
    <w:rsid w:val="00D75842"/>
    <w:rsid w:val="00D762F9"/>
    <w:rsid w:val="00D769B3"/>
    <w:rsid w:val="00D76CF2"/>
    <w:rsid w:val="00D77B79"/>
    <w:rsid w:val="00D77D8A"/>
    <w:rsid w:val="00D77E2B"/>
    <w:rsid w:val="00D80ADE"/>
    <w:rsid w:val="00D80BD6"/>
    <w:rsid w:val="00D80F6D"/>
    <w:rsid w:val="00D81283"/>
    <w:rsid w:val="00D81C9D"/>
    <w:rsid w:val="00D81F22"/>
    <w:rsid w:val="00D824EA"/>
    <w:rsid w:val="00D82817"/>
    <w:rsid w:val="00D82899"/>
    <w:rsid w:val="00D82C89"/>
    <w:rsid w:val="00D8328B"/>
    <w:rsid w:val="00D83614"/>
    <w:rsid w:val="00D838A8"/>
    <w:rsid w:val="00D83B3C"/>
    <w:rsid w:val="00D843F6"/>
    <w:rsid w:val="00D846DE"/>
    <w:rsid w:val="00D84771"/>
    <w:rsid w:val="00D84871"/>
    <w:rsid w:val="00D84AEA"/>
    <w:rsid w:val="00D84AFD"/>
    <w:rsid w:val="00D84ECD"/>
    <w:rsid w:val="00D84F33"/>
    <w:rsid w:val="00D84F69"/>
    <w:rsid w:val="00D851B6"/>
    <w:rsid w:val="00D85300"/>
    <w:rsid w:val="00D85326"/>
    <w:rsid w:val="00D85333"/>
    <w:rsid w:val="00D855FD"/>
    <w:rsid w:val="00D859B9"/>
    <w:rsid w:val="00D8620C"/>
    <w:rsid w:val="00D86906"/>
    <w:rsid w:val="00D86944"/>
    <w:rsid w:val="00D869B7"/>
    <w:rsid w:val="00D86D75"/>
    <w:rsid w:val="00D86F06"/>
    <w:rsid w:val="00D8715C"/>
    <w:rsid w:val="00D871CB"/>
    <w:rsid w:val="00D87400"/>
    <w:rsid w:val="00D87542"/>
    <w:rsid w:val="00D87639"/>
    <w:rsid w:val="00D8769E"/>
    <w:rsid w:val="00D90058"/>
    <w:rsid w:val="00D9014A"/>
    <w:rsid w:val="00D903BB"/>
    <w:rsid w:val="00D91515"/>
    <w:rsid w:val="00D917EB"/>
    <w:rsid w:val="00D91E0C"/>
    <w:rsid w:val="00D91EF6"/>
    <w:rsid w:val="00D9243E"/>
    <w:rsid w:val="00D92972"/>
    <w:rsid w:val="00D92CF8"/>
    <w:rsid w:val="00D93C6E"/>
    <w:rsid w:val="00D93CAA"/>
    <w:rsid w:val="00D93CB0"/>
    <w:rsid w:val="00D93CB3"/>
    <w:rsid w:val="00D93D66"/>
    <w:rsid w:val="00D941B1"/>
    <w:rsid w:val="00D94569"/>
    <w:rsid w:val="00D94702"/>
    <w:rsid w:val="00D94D2E"/>
    <w:rsid w:val="00D94F0A"/>
    <w:rsid w:val="00D950C7"/>
    <w:rsid w:val="00D95121"/>
    <w:rsid w:val="00D9577E"/>
    <w:rsid w:val="00D95915"/>
    <w:rsid w:val="00D95A0E"/>
    <w:rsid w:val="00D95B3E"/>
    <w:rsid w:val="00D95B46"/>
    <w:rsid w:val="00D96872"/>
    <w:rsid w:val="00D9700B"/>
    <w:rsid w:val="00D9757C"/>
    <w:rsid w:val="00D97D87"/>
    <w:rsid w:val="00D97DFA"/>
    <w:rsid w:val="00D97FDD"/>
    <w:rsid w:val="00DA0078"/>
    <w:rsid w:val="00DA01FA"/>
    <w:rsid w:val="00DA0266"/>
    <w:rsid w:val="00DA0506"/>
    <w:rsid w:val="00DA08B1"/>
    <w:rsid w:val="00DA0924"/>
    <w:rsid w:val="00DA0960"/>
    <w:rsid w:val="00DA0E79"/>
    <w:rsid w:val="00DA11C9"/>
    <w:rsid w:val="00DA13BF"/>
    <w:rsid w:val="00DA154B"/>
    <w:rsid w:val="00DA18A1"/>
    <w:rsid w:val="00DA1961"/>
    <w:rsid w:val="00DA1EBD"/>
    <w:rsid w:val="00DA203A"/>
    <w:rsid w:val="00DA2118"/>
    <w:rsid w:val="00DA2FD9"/>
    <w:rsid w:val="00DA31FA"/>
    <w:rsid w:val="00DA328D"/>
    <w:rsid w:val="00DA3319"/>
    <w:rsid w:val="00DA342C"/>
    <w:rsid w:val="00DA3449"/>
    <w:rsid w:val="00DA3BD0"/>
    <w:rsid w:val="00DA4529"/>
    <w:rsid w:val="00DA45D3"/>
    <w:rsid w:val="00DA550E"/>
    <w:rsid w:val="00DA593B"/>
    <w:rsid w:val="00DA5C2B"/>
    <w:rsid w:val="00DA609E"/>
    <w:rsid w:val="00DA62DE"/>
    <w:rsid w:val="00DA657D"/>
    <w:rsid w:val="00DA6704"/>
    <w:rsid w:val="00DA6C04"/>
    <w:rsid w:val="00DA6C3E"/>
    <w:rsid w:val="00DA7769"/>
    <w:rsid w:val="00DB031D"/>
    <w:rsid w:val="00DB0C15"/>
    <w:rsid w:val="00DB0F68"/>
    <w:rsid w:val="00DB10C8"/>
    <w:rsid w:val="00DB1506"/>
    <w:rsid w:val="00DB1726"/>
    <w:rsid w:val="00DB1B75"/>
    <w:rsid w:val="00DB1F98"/>
    <w:rsid w:val="00DB2268"/>
    <w:rsid w:val="00DB2287"/>
    <w:rsid w:val="00DB23C2"/>
    <w:rsid w:val="00DB28EF"/>
    <w:rsid w:val="00DB3A65"/>
    <w:rsid w:val="00DB4802"/>
    <w:rsid w:val="00DB4F94"/>
    <w:rsid w:val="00DB551B"/>
    <w:rsid w:val="00DB5849"/>
    <w:rsid w:val="00DB59BB"/>
    <w:rsid w:val="00DB5DE1"/>
    <w:rsid w:val="00DB5EA9"/>
    <w:rsid w:val="00DB6207"/>
    <w:rsid w:val="00DB66EC"/>
    <w:rsid w:val="00DB6B62"/>
    <w:rsid w:val="00DB701E"/>
    <w:rsid w:val="00DB7445"/>
    <w:rsid w:val="00DB7642"/>
    <w:rsid w:val="00DB79DA"/>
    <w:rsid w:val="00DB7C1B"/>
    <w:rsid w:val="00DB7E99"/>
    <w:rsid w:val="00DB7EBD"/>
    <w:rsid w:val="00DC0675"/>
    <w:rsid w:val="00DC0EFD"/>
    <w:rsid w:val="00DC10C3"/>
    <w:rsid w:val="00DC1779"/>
    <w:rsid w:val="00DC1A0D"/>
    <w:rsid w:val="00DC1F22"/>
    <w:rsid w:val="00DC21DC"/>
    <w:rsid w:val="00DC2325"/>
    <w:rsid w:val="00DC23EC"/>
    <w:rsid w:val="00DC2548"/>
    <w:rsid w:val="00DC257F"/>
    <w:rsid w:val="00DC2ADE"/>
    <w:rsid w:val="00DC2FE7"/>
    <w:rsid w:val="00DC3705"/>
    <w:rsid w:val="00DC372C"/>
    <w:rsid w:val="00DC3809"/>
    <w:rsid w:val="00DC38D3"/>
    <w:rsid w:val="00DC3CF7"/>
    <w:rsid w:val="00DC3DED"/>
    <w:rsid w:val="00DC3E5D"/>
    <w:rsid w:val="00DC3F7E"/>
    <w:rsid w:val="00DC43D7"/>
    <w:rsid w:val="00DC44A6"/>
    <w:rsid w:val="00DC4912"/>
    <w:rsid w:val="00DC4C2A"/>
    <w:rsid w:val="00DC4E2E"/>
    <w:rsid w:val="00DC4F46"/>
    <w:rsid w:val="00DC5318"/>
    <w:rsid w:val="00DC5953"/>
    <w:rsid w:val="00DC5BF9"/>
    <w:rsid w:val="00DC5FEF"/>
    <w:rsid w:val="00DC65A8"/>
    <w:rsid w:val="00DC6674"/>
    <w:rsid w:val="00DC68FE"/>
    <w:rsid w:val="00DC69B9"/>
    <w:rsid w:val="00DC6AF7"/>
    <w:rsid w:val="00DC6DCB"/>
    <w:rsid w:val="00DC727C"/>
    <w:rsid w:val="00DC7B00"/>
    <w:rsid w:val="00DD0134"/>
    <w:rsid w:val="00DD07F7"/>
    <w:rsid w:val="00DD09A0"/>
    <w:rsid w:val="00DD0AE8"/>
    <w:rsid w:val="00DD0EAE"/>
    <w:rsid w:val="00DD120A"/>
    <w:rsid w:val="00DD1BF8"/>
    <w:rsid w:val="00DD1CD8"/>
    <w:rsid w:val="00DD2024"/>
    <w:rsid w:val="00DD2462"/>
    <w:rsid w:val="00DD24AC"/>
    <w:rsid w:val="00DD2A10"/>
    <w:rsid w:val="00DD2BE0"/>
    <w:rsid w:val="00DD2EF7"/>
    <w:rsid w:val="00DD2F4A"/>
    <w:rsid w:val="00DD3A66"/>
    <w:rsid w:val="00DD427E"/>
    <w:rsid w:val="00DD45A2"/>
    <w:rsid w:val="00DD4953"/>
    <w:rsid w:val="00DD5677"/>
    <w:rsid w:val="00DD5718"/>
    <w:rsid w:val="00DD5731"/>
    <w:rsid w:val="00DD5BF6"/>
    <w:rsid w:val="00DD60E3"/>
    <w:rsid w:val="00DD61B6"/>
    <w:rsid w:val="00DD6324"/>
    <w:rsid w:val="00DD64A7"/>
    <w:rsid w:val="00DD660B"/>
    <w:rsid w:val="00DD68D5"/>
    <w:rsid w:val="00DD6AC4"/>
    <w:rsid w:val="00DD6DD8"/>
    <w:rsid w:val="00DD7135"/>
    <w:rsid w:val="00DD7295"/>
    <w:rsid w:val="00DD72FC"/>
    <w:rsid w:val="00DD78E4"/>
    <w:rsid w:val="00DE066A"/>
    <w:rsid w:val="00DE0B1C"/>
    <w:rsid w:val="00DE12FB"/>
    <w:rsid w:val="00DE15F4"/>
    <w:rsid w:val="00DE1AC9"/>
    <w:rsid w:val="00DE1BBC"/>
    <w:rsid w:val="00DE292C"/>
    <w:rsid w:val="00DE2FD0"/>
    <w:rsid w:val="00DE316D"/>
    <w:rsid w:val="00DE3456"/>
    <w:rsid w:val="00DE38C9"/>
    <w:rsid w:val="00DE495C"/>
    <w:rsid w:val="00DE4B34"/>
    <w:rsid w:val="00DE60D2"/>
    <w:rsid w:val="00DE61E8"/>
    <w:rsid w:val="00DE6EC0"/>
    <w:rsid w:val="00DE6F48"/>
    <w:rsid w:val="00DE70CC"/>
    <w:rsid w:val="00DE7237"/>
    <w:rsid w:val="00DE7538"/>
    <w:rsid w:val="00DE7AFE"/>
    <w:rsid w:val="00DE7E44"/>
    <w:rsid w:val="00DF0B8F"/>
    <w:rsid w:val="00DF0C47"/>
    <w:rsid w:val="00DF158F"/>
    <w:rsid w:val="00DF2408"/>
    <w:rsid w:val="00DF27CE"/>
    <w:rsid w:val="00DF28B5"/>
    <w:rsid w:val="00DF29B2"/>
    <w:rsid w:val="00DF2AF4"/>
    <w:rsid w:val="00DF2B5E"/>
    <w:rsid w:val="00DF2D03"/>
    <w:rsid w:val="00DF40EA"/>
    <w:rsid w:val="00DF41DC"/>
    <w:rsid w:val="00DF41EB"/>
    <w:rsid w:val="00DF43F6"/>
    <w:rsid w:val="00DF4DD3"/>
    <w:rsid w:val="00DF4E90"/>
    <w:rsid w:val="00DF4EA0"/>
    <w:rsid w:val="00DF548A"/>
    <w:rsid w:val="00DF5795"/>
    <w:rsid w:val="00DF5853"/>
    <w:rsid w:val="00DF5854"/>
    <w:rsid w:val="00DF5A62"/>
    <w:rsid w:val="00DF5B70"/>
    <w:rsid w:val="00DF5F56"/>
    <w:rsid w:val="00DF6F92"/>
    <w:rsid w:val="00DF7785"/>
    <w:rsid w:val="00DF77B9"/>
    <w:rsid w:val="00E00947"/>
    <w:rsid w:val="00E00FDE"/>
    <w:rsid w:val="00E01173"/>
    <w:rsid w:val="00E01703"/>
    <w:rsid w:val="00E0187C"/>
    <w:rsid w:val="00E01B0C"/>
    <w:rsid w:val="00E01E41"/>
    <w:rsid w:val="00E02209"/>
    <w:rsid w:val="00E02242"/>
    <w:rsid w:val="00E02623"/>
    <w:rsid w:val="00E02B46"/>
    <w:rsid w:val="00E02D82"/>
    <w:rsid w:val="00E03368"/>
    <w:rsid w:val="00E0369F"/>
    <w:rsid w:val="00E03CFA"/>
    <w:rsid w:val="00E0442F"/>
    <w:rsid w:val="00E04730"/>
    <w:rsid w:val="00E049CE"/>
    <w:rsid w:val="00E050CF"/>
    <w:rsid w:val="00E0531B"/>
    <w:rsid w:val="00E054A5"/>
    <w:rsid w:val="00E0553A"/>
    <w:rsid w:val="00E05F99"/>
    <w:rsid w:val="00E05FC6"/>
    <w:rsid w:val="00E060B1"/>
    <w:rsid w:val="00E064CD"/>
    <w:rsid w:val="00E065F8"/>
    <w:rsid w:val="00E06E66"/>
    <w:rsid w:val="00E06F46"/>
    <w:rsid w:val="00E070DF"/>
    <w:rsid w:val="00E0734C"/>
    <w:rsid w:val="00E076EE"/>
    <w:rsid w:val="00E07A40"/>
    <w:rsid w:val="00E07CAA"/>
    <w:rsid w:val="00E1020C"/>
    <w:rsid w:val="00E106D3"/>
    <w:rsid w:val="00E11203"/>
    <w:rsid w:val="00E113B9"/>
    <w:rsid w:val="00E117F5"/>
    <w:rsid w:val="00E11833"/>
    <w:rsid w:val="00E1196F"/>
    <w:rsid w:val="00E120C3"/>
    <w:rsid w:val="00E120F8"/>
    <w:rsid w:val="00E1225C"/>
    <w:rsid w:val="00E12F10"/>
    <w:rsid w:val="00E135EC"/>
    <w:rsid w:val="00E1369C"/>
    <w:rsid w:val="00E13856"/>
    <w:rsid w:val="00E1389D"/>
    <w:rsid w:val="00E1399C"/>
    <w:rsid w:val="00E13D21"/>
    <w:rsid w:val="00E14597"/>
    <w:rsid w:val="00E147BF"/>
    <w:rsid w:val="00E15024"/>
    <w:rsid w:val="00E152F8"/>
    <w:rsid w:val="00E156BA"/>
    <w:rsid w:val="00E1586F"/>
    <w:rsid w:val="00E16120"/>
    <w:rsid w:val="00E16389"/>
    <w:rsid w:val="00E175AC"/>
    <w:rsid w:val="00E17740"/>
    <w:rsid w:val="00E17E42"/>
    <w:rsid w:val="00E20275"/>
    <w:rsid w:val="00E20B74"/>
    <w:rsid w:val="00E20B99"/>
    <w:rsid w:val="00E20E87"/>
    <w:rsid w:val="00E21246"/>
    <w:rsid w:val="00E21911"/>
    <w:rsid w:val="00E21FE2"/>
    <w:rsid w:val="00E22132"/>
    <w:rsid w:val="00E22E7A"/>
    <w:rsid w:val="00E233D0"/>
    <w:rsid w:val="00E237C9"/>
    <w:rsid w:val="00E23844"/>
    <w:rsid w:val="00E23C14"/>
    <w:rsid w:val="00E23E45"/>
    <w:rsid w:val="00E2413C"/>
    <w:rsid w:val="00E244EC"/>
    <w:rsid w:val="00E24CA1"/>
    <w:rsid w:val="00E253E5"/>
    <w:rsid w:val="00E25459"/>
    <w:rsid w:val="00E26481"/>
    <w:rsid w:val="00E26535"/>
    <w:rsid w:val="00E26650"/>
    <w:rsid w:val="00E26884"/>
    <w:rsid w:val="00E26A7F"/>
    <w:rsid w:val="00E26EB4"/>
    <w:rsid w:val="00E270D9"/>
    <w:rsid w:val="00E27352"/>
    <w:rsid w:val="00E278F9"/>
    <w:rsid w:val="00E27B16"/>
    <w:rsid w:val="00E27CC7"/>
    <w:rsid w:val="00E27EC6"/>
    <w:rsid w:val="00E301DD"/>
    <w:rsid w:val="00E301F1"/>
    <w:rsid w:val="00E30509"/>
    <w:rsid w:val="00E3068E"/>
    <w:rsid w:val="00E30723"/>
    <w:rsid w:val="00E30747"/>
    <w:rsid w:val="00E30E27"/>
    <w:rsid w:val="00E30F3A"/>
    <w:rsid w:val="00E321DD"/>
    <w:rsid w:val="00E326F5"/>
    <w:rsid w:val="00E3295F"/>
    <w:rsid w:val="00E32A5A"/>
    <w:rsid w:val="00E32D12"/>
    <w:rsid w:val="00E33F76"/>
    <w:rsid w:val="00E34585"/>
    <w:rsid w:val="00E349CE"/>
    <w:rsid w:val="00E34CE5"/>
    <w:rsid w:val="00E35142"/>
    <w:rsid w:val="00E35427"/>
    <w:rsid w:val="00E35F8C"/>
    <w:rsid w:val="00E36105"/>
    <w:rsid w:val="00E362E1"/>
    <w:rsid w:val="00E36376"/>
    <w:rsid w:val="00E36627"/>
    <w:rsid w:val="00E36C89"/>
    <w:rsid w:val="00E36CB0"/>
    <w:rsid w:val="00E36CF8"/>
    <w:rsid w:val="00E36E3D"/>
    <w:rsid w:val="00E375A2"/>
    <w:rsid w:val="00E37DAE"/>
    <w:rsid w:val="00E4001D"/>
    <w:rsid w:val="00E40279"/>
    <w:rsid w:val="00E40948"/>
    <w:rsid w:val="00E4118F"/>
    <w:rsid w:val="00E41983"/>
    <w:rsid w:val="00E41AE8"/>
    <w:rsid w:val="00E41B70"/>
    <w:rsid w:val="00E42644"/>
    <w:rsid w:val="00E42EC7"/>
    <w:rsid w:val="00E43338"/>
    <w:rsid w:val="00E435B4"/>
    <w:rsid w:val="00E435F2"/>
    <w:rsid w:val="00E4374E"/>
    <w:rsid w:val="00E43816"/>
    <w:rsid w:val="00E4451B"/>
    <w:rsid w:val="00E44973"/>
    <w:rsid w:val="00E44CCC"/>
    <w:rsid w:val="00E44F07"/>
    <w:rsid w:val="00E45099"/>
    <w:rsid w:val="00E45170"/>
    <w:rsid w:val="00E451CA"/>
    <w:rsid w:val="00E45437"/>
    <w:rsid w:val="00E45647"/>
    <w:rsid w:val="00E4566A"/>
    <w:rsid w:val="00E457E0"/>
    <w:rsid w:val="00E45806"/>
    <w:rsid w:val="00E46FD4"/>
    <w:rsid w:val="00E470EF"/>
    <w:rsid w:val="00E47327"/>
    <w:rsid w:val="00E47722"/>
    <w:rsid w:val="00E477C7"/>
    <w:rsid w:val="00E47AB3"/>
    <w:rsid w:val="00E47DBA"/>
    <w:rsid w:val="00E47F7C"/>
    <w:rsid w:val="00E5016E"/>
    <w:rsid w:val="00E504EA"/>
    <w:rsid w:val="00E50762"/>
    <w:rsid w:val="00E50D43"/>
    <w:rsid w:val="00E5110B"/>
    <w:rsid w:val="00E511A9"/>
    <w:rsid w:val="00E511CB"/>
    <w:rsid w:val="00E51213"/>
    <w:rsid w:val="00E513FD"/>
    <w:rsid w:val="00E51581"/>
    <w:rsid w:val="00E51677"/>
    <w:rsid w:val="00E517A8"/>
    <w:rsid w:val="00E518B6"/>
    <w:rsid w:val="00E5245C"/>
    <w:rsid w:val="00E52C7A"/>
    <w:rsid w:val="00E52CFB"/>
    <w:rsid w:val="00E53621"/>
    <w:rsid w:val="00E53C00"/>
    <w:rsid w:val="00E53DDC"/>
    <w:rsid w:val="00E540F8"/>
    <w:rsid w:val="00E545A6"/>
    <w:rsid w:val="00E54A41"/>
    <w:rsid w:val="00E54C2A"/>
    <w:rsid w:val="00E54E6D"/>
    <w:rsid w:val="00E54F23"/>
    <w:rsid w:val="00E5580C"/>
    <w:rsid w:val="00E55861"/>
    <w:rsid w:val="00E558C7"/>
    <w:rsid w:val="00E55B17"/>
    <w:rsid w:val="00E55FB8"/>
    <w:rsid w:val="00E56A4E"/>
    <w:rsid w:val="00E56F69"/>
    <w:rsid w:val="00E57114"/>
    <w:rsid w:val="00E576F6"/>
    <w:rsid w:val="00E577F7"/>
    <w:rsid w:val="00E57A82"/>
    <w:rsid w:val="00E57CC9"/>
    <w:rsid w:val="00E57F18"/>
    <w:rsid w:val="00E57FA4"/>
    <w:rsid w:val="00E60616"/>
    <w:rsid w:val="00E60B6D"/>
    <w:rsid w:val="00E60FA0"/>
    <w:rsid w:val="00E612A3"/>
    <w:rsid w:val="00E612E2"/>
    <w:rsid w:val="00E61578"/>
    <w:rsid w:val="00E6183C"/>
    <w:rsid w:val="00E61C42"/>
    <w:rsid w:val="00E62005"/>
    <w:rsid w:val="00E620B2"/>
    <w:rsid w:val="00E6225D"/>
    <w:rsid w:val="00E62C78"/>
    <w:rsid w:val="00E62ED2"/>
    <w:rsid w:val="00E6322E"/>
    <w:rsid w:val="00E64277"/>
    <w:rsid w:val="00E64F3E"/>
    <w:rsid w:val="00E652C8"/>
    <w:rsid w:val="00E6600E"/>
    <w:rsid w:val="00E661A7"/>
    <w:rsid w:val="00E663E7"/>
    <w:rsid w:val="00E66E12"/>
    <w:rsid w:val="00E67644"/>
    <w:rsid w:val="00E6778F"/>
    <w:rsid w:val="00E678C6"/>
    <w:rsid w:val="00E67934"/>
    <w:rsid w:val="00E67B5E"/>
    <w:rsid w:val="00E67CEA"/>
    <w:rsid w:val="00E67D3F"/>
    <w:rsid w:val="00E70463"/>
    <w:rsid w:val="00E7090C"/>
    <w:rsid w:val="00E709BD"/>
    <w:rsid w:val="00E70ACB"/>
    <w:rsid w:val="00E70B53"/>
    <w:rsid w:val="00E70F6E"/>
    <w:rsid w:val="00E70F81"/>
    <w:rsid w:val="00E71659"/>
    <w:rsid w:val="00E7181F"/>
    <w:rsid w:val="00E71BE9"/>
    <w:rsid w:val="00E7229F"/>
    <w:rsid w:val="00E724B3"/>
    <w:rsid w:val="00E726A5"/>
    <w:rsid w:val="00E72CCF"/>
    <w:rsid w:val="00E72D9E"/>
    <w:rsid w:val="00E72DB1"/>
    <w:rsid w:val="00E73244"/>
    <w:rsid w:val="00E736E9"/>
    <w:rsid w:val="00E73F76"/>
    <w:rsid w:val="00E74392"/>
    <w:rsid w:val="00E753B8"/>
    <w:rsid w:val="00E75BE0"/>
    <w:rsid w:val="00E7651E"/>
    <w:rsid w:val="00E76625"/>
    <w:rsid w:val="00E76D69"/>
    <w:rsid w:val="00E770ED"/>
    <w:rsid w:val="00E777AB"/>
    <w:rsid w:val="00E80505"/>
    <w:rsid w:val="00E80C76"/>
    <w:rsid w:val="00E81145"/>
    <w:rsid w:val="00E81CDA"/>
    <w:rsid w:val="00E81EC7"/>
    <w:rsid w:val="00E81EF6"/>
    <w:rsid w:val="00E82016"/>
    <w:rsid w:val="00E82426"/>
    <w:rsid w:val="00E824AE"/>
    <w:rsid w:val="00E82795"/>
    <w:rsid w:val="00E82CBA"/>
    <w:rsid w:val="00E82CE6"/>
    <w:rsid w:val="00E83552"/>
    <w:rsid w:val="00E838EF"/>
    <w:rsid w:val="00E841F7"/>
    <w:rsid w:val="00E84660"/>
    <w:rsid w:val="00E84BAE"/>
    <w:rsid w:val="00E84FB1"/>
    <w:rsid w:val="00E85992"/>
    <w:rsid w:val="00E85C8A"/>
    <w:rsid w:val="00E862E2"/>
    <w:rsid w:val="00E863B9"/>
    <w:rsid w:val="00E86B02"/>
    <w:rsid w:val="00E8719D"/>
    <w:rsid w:val="00E879FA"/>
    <w:rsid w:val="00E87A2E"/>
    <w:rsid w:val="00E87B90"/>
    <w:rsid w:val="00E87BD8"/>
    <w:rsid w:val="00E87CD3"/>
    <w:rsid w:val="00E87F52"/>
    <w:rsid w:val="00E9000A"/>
    <w:rsid w:val="00E902B6"/>
    <w:rsid w:val="00E907D9"/>
    <w:rsid w:val="00E90D04"/>
    <w:rsid w:val="00E90E3D"/>
    <w:rsid w:val="00E9169E"/>
    <w:rsid w:val="00E91DF6"/>
    <w:rsid w:val="00E91FC0"/>
    <w:rsid w:val="00E9262B"/>
    <w:rsid w:val="00E9295B"/>
    <w:rsid w:val="00E93C85"/>
    <w:rsid w:val="00E93EE2"/>
    <w:rsid w:val="00E93F3D"/>
    <w:rsid w:val="00E93FB6"/>
    <w:rsid w:val="00E94773"/>
    <w:rsid w:val="00E94834"/>
    <w:rsid w:val="00E94CE5"/>
    <w:rsid w:val="00E94D3D"/>
    <w:rsid w:val="00E95008"/>
    <w:rsid w:val="00E95202"/>
    <w:rsid w:val="00E954CC"/>
    <w:rsid w:val="00E955C2"/>
    <w:rsid w:val="00E95CD0"/>
    <w:rsid w:val="00E96034"/>
    <w:rsid w:val="00E96697"/>
    <w:rsid w:val="00E966F9"/>
    <w:rsid w:val="00E96E47"/>
    <w:rsid w:val="00E96E48"/>
    <w:rsid w:val="00E96F31"/>
    <w:rsid w:val="00E97127"/>
    <w:rsid w:val="00E977C7"/>
    <w:rsid w:val="00E97ADD"/>
    <w:rsid w:val="00EA0420"/>
    <w:rsid w:val="00EA0934"/>
    <w:rsid w:val="00EA1035"/>
    <w:rsid w:val="00EA104A"/>
    <w:rsid w:val="00EA1232"/>
    <w:rsid w:val="00EA2415"/>
    <w:rsid w:val="00EA342D"/>
    <w:rsid w:val="00EA3738"/>
    <w:rsid w:val="00EA390D"/>
    <w:rsid w:val="00EA3CE5"/>
    <w:rsid w:val="00EA4108"/>
    <w:rsid w:val="00EA410E"/>
    <w:rsid w:val="00EA413E"/>
    <w:rsid w:val="00EA42E2"/>
    <w:rsid w:val="00EA438F"/>
    <w:rsid w:val="00EA49F0"/>
    <w:rsid w:val="00EA51BC"/>
    <w:rsid w:val="00EA574D"/>
    <w:rsid w:val="00EA639E"/>
    <w:rsid w:val="00EA6B14"/>
    <w:rsid w:val="00EA6E01"/>
    <w:rsid w:val="00EA700A"/>
    <w:rsid w:val="00EA701A"/>
    <w:rsid w:val="00EA720E"/>
    <w:rsid w:val="00EA7622"/>
    <w:rsid w:val="00EA76E4"/>
    <w:rsid w:val="00EA7BD0"/>
    <w:rsid w:val="00EA7DB2"/>
    <w:rsid w:val="00EA7EB0"/>
    <w:rsid w:val="00EB005E"/>
    <w:rsid w:val="00EB095F"/>
    <w:rsid w:val="00EB0A3C"/>
    <w:rsid w:val="00EB0F53"/>
    <w:rsid w:val="00EB12C6"/>
    <w:rsid w:val="00EB1525"/>
    <w:rsid w:val="00EB1BE8"/>
    <w:rsid w:val="00EB2223"/>
    <w:rsid w:val="00EB22D2"/>
    <w:rsid w:val="00EB2F3B"/>
    <w:rsid w:val="00EB309E"/>
    <w:rsid w:val="00EB346D"/>
    <w:rsid w:val="00EB35A9"/>
    <w:rsid w:val="00EB35AA"/>
    <w:rsid w:val="00EB387F"/>
    <w:rsid w:val="00EB43DA"/>
    <w:rsid w:val="00EB44AB"/>
    <w:rsid w:val="00EB4615"/>
    <w:rsid w:val="00EB4631"/>
    <w:rsid w:val="00EB48AD"/>
    <w:rsid w:val="00EB4B37"/>
    <w:rsid w:val="00EB51B5"/>
    <w:rsid w:val="00EB54FD"/>
    <w:rsid w:val="00EB578C"/>
    <w:rsid w:val="00EB7320"/>
    <w:rsid w:val="00EB7842"/>
    <w:rsid w:val="00EBDCC8"/>
    <w:rsid w:val="00EC06B3"/>
    <w:rsid w:val="00EC0738"/>
    <w:rsid w:val="00EC100D"/>
    <w:rsid w:val="00EC173F"/>
    <w:rsid w:val="00EC1783"/>
    <w:rsid w:val="00EC2020"/>
    <w:rsid w:val="00EC21B7"/>
    <w:rsid w:val="00EC2387"/>
    <w:rsid w:val="00EC268E"/>
    <w:rsid w:val="00EC295A"/>
    <w:rsid w:val="00EC366B"/>
    <w:rsid w:val="00EC3E19"/>
    <w:rsid w:val="00EC3E87"/>
    <w:rsid w:val="00EC40C2"/>
    <w:rsid w:val="00EC40FB"/>
    <w:rsid w:val="00EC424D"/>
    <w:rsid w:val="00EC46F0"/>
    <w:rsid w:val="00EC479F"/>
    <w:rsid w:val="00EC4EA4"/>
    <w:rsid w:val="00EC55EC"/>
    <w:rsid w:val="00EC5675"/>
    <w:rsid w:val="00EC5935"/>
    <w:rsid w:val="00EC599B"/>
    <w:rsid w:val="00EC5D81"/>
    <w:rsid w:val="00EC5F44"/>
    <w:rsid w:val="00EC613E"/>
    <w:rsid w:val="00EC6570"/>
    <w:rsid w:val="00EC6724"/>
    <w:rsid w:val="00EC6AC4"/>
    <w:rsid w:val="00EC7325"/>
    <w:rsid w:val="00EC73A3"/>
    <w:rsid w:val="00EC74F7"/>
    <w:rsid w:val="00EC75ED"/>
    <w:rsid w:val="00EC7C50"/>
    <w:rsid w:val="00EC7F2A"/>
    <w:rsid w:val="00ED0193"/>
    <w:rsid w:val="00ED02CC"/>
    <w:rsid w:val="00ED04F5"/>
    <w:rsid w:val="00ED0648"/>
    <w:rsid w:val="00ED06C0"/>
    <w:rsid w:val="00ED0982"/>
    <w:rsid w:val="00ED1863"/>
    <w:rsid w:val="00ED1BF9"/>
    <w:rsid w:val="00ED219B"/>
    <w:rsid w:val="00ED21DF"/>
    <w:rsid w:val="00ED2723"/>
    <w:rsid w:val="00ED2D6B"/>
    <w:rsid w:val="00ED32F7"/>
    <w:rsid w:val="00ED338A"/>
    <w:rsid w:val="00ED3A4F"/>
    <w:rsid w:val="00ED4662"/>
    <w:rsid w:val="00ED46AF"/>
    <w:rsid w:val="00ED53F6"/>
    <w:rsid w:val="00ED5611"/>
    <w:rsid w:val="00ED57C9"/>
    <w:rsid w:val="00ED5B1E"/>
    <w:rsid w:val="00ED61FE"/>
    <w:rsid w:val="00ED6468"/>
    <w:rsid w:val="00ED67F4"/>
    <w:rsid w:val="00ED710C"/>
    <w:rsid w:val="00ED755A"/>
    <w:rsid w:val="00ED7CD8"/>
    <w:rsid w:val="00ED7DAD"/>
    <w:rsid w:val="00EE029C"/>
    <w:rsid w:val="00EE1211"/>
    <w:rsid w:val="00EE13E4"/>
    <w:rsid w:val="00EE175B"/>
    <w:rsid w:val="00EE2E7B"/>
    <w:rsid w:val="00EE3233"/>
    <w:rsid w:val="00EE3362"/>
    <w:rsid w:val="00EE38EC"/>
    <w:rsid w:val="00EE3CCB"/>
    <w:rsid w:val="00EE42D7"/>
    <w:rsid w:val="00EE45CE"/>
    <w:rsid w:val="00EE46AC"/>
    <w:rsid w:val="00EE4C6D"/>
    <w:rsid w:val="00EE564D"/>
    <w:rsid w:val="00EE5CBF"/>
    <w:rsid w:val="00EE5E6F"/>
    <w:rsid w:val="00EE6126"/>
    <w:rsid w:val="00EE6314"/>
    <w:rsid w:val="00EE682E"/>
    <w:rsid w:val="00EE6B7F"/>
    <w:rsid w:val="00EE717E"/>
    <w:rsid w:val="00EE72E6"/>
    <w:rsid w:val="00EE745C"/>
    <w:rsid w:val="00EE7B46"/>
    <w:rsid w:val="00EF0324"/>
    <w:rsid w:val="00EF036E"/>
    <w:rsid w:val="00EF03EE"/>
    <w:rsid w:val="00EF0527"/>
    <w:rsid w:val="00EF11C9"/>
    <w:rsid w:val="00EF1329"/>
    <w:rsid w:val="00EF159C"/>
    <w:rsid w:val="00EF1665"/>
    <w:rsid w:val="00EF1810"/>
    <w:rsid w:val="00EF1D40"/>
    <w:rsid w:val="00EF24CA"/>
    <w:rsid w:val="00EF2817"/>
    <w:rsid w:val="00EF3624"/>
    <w:rsid w:val="00EF40F0"/>
    <w:rsid w:val="00EF445F"/>
    <w:rsid w:val="00EF47C4"/>
    <w:rsid w:val="00EF4ABE"/>
    <w:rsid w:val="00EF4B10"/>
    <w:rsid w:val="00EF54A8"/>
    <w:rsid w:val="00EF5594"/>
    <w:rsid w:val="00EF55B3"/>
    <w:rsid w:val="00EF566C"/>
    <w:rsid w:val="00EF5852"/>
    <w:rsid w:val="00EF5903"/>
    <w:rsid w:val="00EF5A26"/>
    <w:rsid w:val="00EF5B26"/>
    <w:rsid w:val="00EF6005"/>
    <w:rsid w:val="00EF615A"/>
    <w:rsid w:val="00EF6607"/>
    <w:rsid w:val="00EF6982"/>
    <w:rsid w:val="00EF6B7B"/>
    <w:rsid w:val="00EF702F"/>
    <w:rsid w:val="00EF76B2"/>
    <w:rsid w:val="00EF7AAD"/>
    <w:rsid w:val="00EF7E0B"/>
    <w:rsid w:val="00EF7F99"/>
    <w:rsid w:val="00EF7F9A"/>
    <w:rsid w:val="00EF7FAC"/>
    <w:rsid w:val="00F001C9"/>
    <w:rsid w:val="00F005EC"/>
    <w:rsid w:val="00F00B56"/>
    <w:rsid w:val="00F00F5C"/>
    <w:rsid w:val="00F00F99"/>
    <w:rsid w:val="00F01142"/>
    <w:rsid w:val="00F014CB"/>
    <w:rsid w:val="00F01984"/>
    <w:rsid w:val="00F01FDC"/>
    <w:rsid w:val="00F02717"/>
    <w:rsid w:val="00F028CF"/>
    <w:rsid w:val="00F02973"/>
    <w:rsid w:val="00F029F1"/>
    <w:rsid w:val="00F02CEF"/>
    <w:rsid w:val="00F03402"/>
    <w:rsid w:val="00F035BC"/>
    <w:rsid w:val="00F037F5"/>
    <w:rsid w:val="00F0384E"/>
    <w:rsid w:val="00F03C55"/>
    <w:rsid w:val="00F040A7"/>
    <w:rsid w:val="00F046AC"/>
    <w:rsid w:val="00F04897"/>
    <w:rsid w:val="00F04B40"/>
    <w:rsid w:val="00F04DAC"/>
    <w:rsid w:val="00F05947"/>
    <w:rsid w:val="00F05BDE"/>
    <w:rsid w:val="00F0625B"/>
    <w:rsid w:val="00F063F6"/>
    <w:rsid w:val="00F069EE"/>
    <w:rsid w:val="00F06ADE"/>
    <w:rsid w:val="00F06F11"/>
    <w:rsid w:val="00F07649"/>
    <w:rsid w:val="00F07AB1"/>
    <w:rsid w:val="00F100A1"/>
    <w:rsid w:val="00F10F3C"/>
    <w:rsid w:val="00F11360"/>
    <w:rsid w:val="00F11763"/>
    <w:rsid w:val="00F11C5A"/>
    <w:rsid w:val="00F11E81"/>
    <w:rsid w:val="00F11EC3"/>
    <w:rsid w:val="00F126A9"/>
    <w:rsid w:val="00F12C8A"/>
    <w:rsid w:val="00F12F40"/>
    <w:rsid w:val="00F13673"/>
    <w:rsid w:val="00F1382D"/>
    <w:rsid w:val="00F13903"/>
    <w:rsid w:val="00F13D65"/>
    <w:rsid w:val="00F13DA4"/>
    <w:rsid w:val="00F13DD1"/>
    <w:rsid w:val="00F14E43"/>
    <w:rsid w:val="00F14FF7"/>
    <w:rsid w:val="00F15478"/>
    <w:rsid w:val="00F15590"/>
    <w:rsid w:val="00F15E55"/>
    <w:rsid w:val="00F165FE"/>
    <w:rsid w:val="00F16C6D"/>
    <w:rsid w:val="00F171D6"/>
    <w:rsid w:val="00F1749D"/>
    <w:rsid w:val="00F17692"/>
    <w:rsid w:val="00F1773B"/>
    <w:rsid w:val="00F17B34"/>
    <w:rsid w:val="00F17D02"/>
    <w:rsid w:val="00F20077"/>
    <w:rsid w:val="00F2038C"/>
    <w:rsid w:val="00F204AD"/>
    <w:rsid w:val="00F20C53"/>
    <w:rsid w:val="00F21DCA"/>
    <w:rsid w:val="00F21FE1"/>
    <w:rsid w:val="00F221C7"/>
    <w:rsid w:val="00F225D4"/>
    <w:rsid w:val="00F239E1"/>
    <w:rsid w:val="00F23DCC"/>
    <w:rsid w:val="00F24525"/>
    <w:rsid w:val="00F2495E"/>
    <w:rsid w:val="00F24A1D"/>
    <w:rsid w:val="00F251ED"/>
    <w:rsid w:val="00F25D58"/>
    <w:rsid w:val="00F25FD8"/>
    <w:rsid w:val="00F261D3"/>
    <w:rsid w:val="00F26BC2"/>
    <w:rsid w:val="00F26BEB"/>
    <w:rsid w:val="00F27094"/>
    <w:rsid w:val="00F2758D"/>
    <w:rsid w:val="00F30241"/>
    <w:rsid w:val="00F307AB"/>
    <w:rsid w:val="00F310E5"/>
    <w:rsid w:val="00F3113B"/>
    <w:rsid w:val="00F31C8A"/>
    <w:rsid w:val="00F32034"/>
    <w:rsid w:val="00F32041"/>
    <w:rsid w:val="00F32149"/>
    <w:rsid w:val="00F32206"/>
    <w:rsid w:val="00F32327"/>
    <w:rsid w:val="00F32788"/>
    <w:rsid w:val="00F3283A"/>
    <w:rsid w:val="00F32B47"/>
    <w:rsid w:val="00F32F32"/>
    <w:rsid w:val="00F3359E"/>
    <w:rsid w:val="00F3418E"/>
    <w:rsid w:val="00F344A4"/>
    <w:rsid w:val="00F34567"/>
    <w:rsid w:val="00F347C9"/>
    <w:rsid w:val="00F354CB"/>
    <w:rsid w:val="00F3551E"/>
    <w:rsid w:val="00F3572F"/>
    <w:rsid w:val="00F3578E"/>
    <w:rsid w:val="00F35AAB"/>
    <w:rsid w:val="00F35AB1"/>
    <w:rsid w:val="00F365D3"/>
    <w:rsid w:val="00F366DB"/>
    <w:rsid w:val="00F3697D"/>
    <w:rsid w:val="00F36B69"/>
    <w:rsid w:val="00F371A2"/>
    <w:rsid w:val="00F3766D"/>
    <w:rsid w:val="00F376E5"/>
    <w:rsid w:val="00F37966"/>
    <w:rsid w:val="00F379AA"/>
    <w:rsid w:val="00F37B8D"/>
    <w:rsid w:val="00F37CCA"/>
    <w:rsid w:val="00F37F94"/>
    <w:rsid w:val="00F4007F"/>
    <w:rsid w:val="00F400B2"/>
    <w:rsid w:val="00F403B8"/>
    <w:rsid w:val="00F4041D"/>
    <w:rsid w:val="00F40C16"/>
    <w:rsid w:val="00F41521"/>
    <w:rsid w:val="00F4167C"/>
    <w:rsid w:val="00F4184C"/>
    <w:rsid w:val="00F41BCB"/>
    <w:rsid w:val="00F4223E"/>
    <w:rsid w:val="00F42D38"/>
    <w:rsid w:val="00F42F72"/>
    <w:rsid w:val="00F430EF"/>
    <w:rsid w:val="00F4329D"/>
    <w:rsid w:val="00F435A0"/>
    <w:rsid w:val="00F43B62"/>
    <w:rsid w:val="00F43B66"/>
    <w:rsid w:val="00F43D6A"/>
    <w:rsid w:val="00F43D8E"/>
    <w:rsid w:val="00F44A1C"/>
    <w:rsid w:val="00F44A21"/>
    <w:rsid w:val="00F44D01"/>
    <w:rsid w:val="00F4520F"/>
    <w:rsid w:val="00F4562F"/>
    <w:rsid w:val="00F45722"/>
    <w:rsid w:val="00F45977"/>
    <w:rsid w:val="00F4676E"/>
    <w:rsid w:val="00F46DE3"/>
    <w:rsid w:val="00F47C56"/>
    <w:rsid w:val="00F47DFF"/>
    <w:rsid w:val="00F502B7"/>
    <w:rsid w:val="00F502D6"/>
    <w:rsid w:val="00F5046A"/>
    <w:rsid w:val="00F505AE"/>
    <w:rsid w:val="00F50822"/>
    <w:rsid w:val="00F509D3"/>
    <w:rsid w:val="00F5175D"/>
    <w:rsid w:val="00F51813"/>
    <w:rsid w:val="00F51A23"/>
    <w:rsid w:val="00F51FAA"/>
    <w:rsid w:val="00F52A12"/>
    <w:rsid w:val="00F536B5"/>
    <w:rsid w:val="00F537AA"/>
    <w:rsid w:val="00F540D2"/>
    <w:rsid w:val="00F541DE"/>
    <w:rsid w:val="00F542BC"/>
    <w:rsid w:val="00F5456A"/>
    <w:rsid w:val="00F547E9"/>
    <w:rsid w:val="00F54F5B"/>
    <w:rsid w:val="00F5536A"/>
    <w:rsid w:val="00F554C6"/>
    <w:rsid w:val="00F55AA6"/>
    <w:rsid w:val="00F55B9B"/>
    <w:rsid w:val="00F55C42"/>
    <w:rsid w:val="00F55C51"/>
    <w:rsid w:val="00F55CAD"/>
    <w:rsid w:val="00F55CC2"/>
    <w:rsid w:val="00F55FDC"/>
    <w:rsid w:val="00F5611E"/>
    <w:rsid w:val="00F56B9B"/>
    <w:rsid w:val="00F56EF7"/>
    <w:rsid w:val="00F56F90"/>
    <w:rsid w:val="00F574F4"/>
    <w:rsid w:val="00F57B33"/>
    <w:rsid w:val="00F57BE2"/>
    <w:rsid w:val="00F57E73"/>
    <w:rsid w:val="00F602EB"/>
    <w:rsid w:val="00F60686"/>
    <w:rsid w:val="00F60E91"/>
    <w:rsid w:val="00F6148B"/>
    <w:rsid w:val="00F61515"/>
    <w:rsid w:val="00F6166E"/>
    <w:rsid w:val="00F61B52"/>
    <w:rsid w:val="00F61F6D"/>
    <w:rsid w:val="00F61F71"/>
    <w:rsid w:val="00F61F95"/>
    <w:rsid w:val="00F627E7"/>
    <w:rsid w:val="00F62B82"/>
    <w:rsid w:val="00F62E16"/>
    <w:rsid w:val="00F6334C"/>
    <w:rsid w:val="00F63632"/>
    <w:rsid w:val="00F6363D"/>
    <w:rsid w:val="00F63757"/>
    <w:rsid w:val="00F6376B"/>
    <w:rsid w:val="00F638CA"/>
    <w:rsid w:val="00F63EAB"/>
    <w:rsid w:val="00F64347"/>
    <w:rsid w:val="00F6512E"/>
    <w:rsid w:val="00F65304"/>
    <w:rsid w:val="00F65393"/>
    <w:rsid w:val="00F659F2"/>
    <w:rsid w:val="00F65A6E"/>
    <w:rsid w:val="00F65FCC"/>
    <w:rsid w:val="00F6631A"/>
    <w:rsid w:val="00F667E6"/>
    <w:rsid w:val="00F66BDA"/>
    <w:rsid w:val="00F67601"/>
    <w:rsid w:val="00F67C0C"/>
    <w:rsid w:val="00F67C3D"/>
    <w:rsid w:val="00F67D51"/>
    <w:rsid w:val="00F67D9C"/>
    <w:rsid w:val="00F67F44"/>
    <w:rsid w:val="00F6FF98"/>
    <w:rsid w:val="00F7076B"/>
    <w:rsid w:val="00F709A1"/>
    <w:rsid w:val="00F70E20"/>
    <w:rsid w:val="00F71259"/>
    <w:rsid w:val="00F71646"/>
    <w:rsid w:val="00F717A6"/>
    <w:rsid w:val="00F717FC"/>
    <w:rsid w:val="00F719F2"/>
    <w:rsid w:val="00F71A97"/>
    <w:rsid w:val="00F71B53"/>
    <w:rsid w:val="00F72777"/>
    <w:rsid w:val="00F727F6"/>
    <w:rsid w:val="00F72FFB"/>
    <w:rsid w:val="00F737E3"/>
    <w:rsid w:val="00F73D64"/>
    <w:rsid w:val="00F7400D"/>
    <w:rsid w:val="00F74232"/>
    <w:rsid w:val="00F744D8"/>
    <w:rsid w:val="00F74E95"/>
    <w:rsid w:val="00F754CF"/>
    <w:rsid w:val="00F75687"/>
    <w:rsid w:val="00F756B1"/>
    <w:rsid w:val="00F75858"/>
    <w:rsid w:val="00F75A47"/>
    <w:rsid w:val="00F75D3F"/>
    <w:rsid w:val="00F761EA"/>
    <w:rsid w:val="00F766C0"/>
    <w:rsid w:val="00F76D17"/>
    <w:rsid w:val="00F76F71"/>
    <w:rsid w:val="00F7701C"/>
    <w:rsid w:val="00F77974"/>
    <w:rsid w:val="00F8099E"/>
    <w:rsid w:val="00F80EB7"/>
    <w:rsid w:val="00F81211"/>
    <w:rsid w:val="00F81380"/>
    <w:rsid w:val="00F817DB"/>
    <w:rsid w:val="00F818FC"/>
    <w:rsid w:val="00F81CA3"/>
    <w:rsid w:val="00F81CF2"/>
    <w:rsid w:val="00F824EE"/>
    <w:rsid w:val="00F82622"/>
    <w:rsid w:val="00F82B4C"/>
    <w:rsid w:val="00F83302"/>
    <w:rsid w:val="00F83C46"/>
    <w:rsid w:val="00F83FD2"/>
    <w:rsid w:val="00F84363"/>
    <w:rsid w:val="00F84641"/>
    <w:rsid w:val="00F84798"/>
    <w:rsid w:val="00F84A18"/>
    <w:rsid w:val="00F84A54"/>
    <w:rsid w:val="00F84A71"/>
    <w:rsid w:val="00F852CB"/>
    <w:rsid w:val="00F85D26"/>
    <w:rsid w:val="00F860D0"/>
    <w:rsid w:val="00F86556"/>
    <w:rsid w:val="00F873D8"/>
    <w:rsid w:val="00F87CD3"/>
    <w:rsid w:val="00F901CA"/>
    <w:rsid w:val="00F907F3"/>
    <w:rsid w:val="00F90877"/>
    <w:rsid w:val="00F90DB3"/>
    <w:rsid w:val="00F910FD"/>
    <w:rsid w:val="00F917C9"/>
    <w:rsid w:val="00F91AE5"/>
    <w:rsid w:val="00F91B45"/>
    <w:rsid w:val="00F91E18"/>
    <w:rsid w:val="00F92468"/>
    <w:rsid w:val="00F92634"/>
    <w:rsid w:val="00F92DE2"/>
    <w:rsid w:val="00F92F48"/>
    <w:rsid w:val="00F9370E"/>
    <w:rsid w:val="00F937B3"/>
    <w:rsid w:val="00F938D9"/>
    <w:rsid w:val="00F93AE9"/>
    <w:rsid w:val="00F93C44"/>
    <w:rsid w:val="00F93F26"/>
    <w:rsid w:val="00F94503"/>
    <w:rsid w:val="00F945E0"/>
    <w:rsid w:val="00F94AD7"/>
    <w:rsid w:val="00F94C78"/>
    <w:rsid w:val="00F94EE3"/>
    <w:rsid w:val="00F950CF"/>
    <w:rsid w:val="00F95465"/>
    <w:rsid w:val="00F95C82"/>
    <w:rsid w:val="00F9600A"/>
    <w:rsid w:val="00F96226"/>
    <w:rsid w:val="00F9677B"/>
    <w:rsid w:val="00F968BD"/>
    <w:rsid w:val="00F96968"/>
    <w:rsid w:val="00F96A2A"/>
    <w:rsid w:val="00F96CD8"/>
    <w:rsid w:val="00F971F2"/>
    <w:rsid w:val="00F97484"/>
    <w:rsid w:val="00F97572"/>
    <w:rsid w:val="00F9769C"/>
    <w:rsid w:val="00F9785E"/>
    <w:rsid w:val="00F9795B"/>
    <w:rsid w:val="00F9798C"/>
    <w:rsid w:val="00F97C6C"/>
    <w:rsid w:val="00F97C82"/>
    <w:rsid w:val="00F97E48"/>
    <w:rsid w:val="00FA00BB"/>
    <w:rsid w:val="00FA0638"/>
    <w:rsid w:val="00FA08D9"/>
    <w:rsid w:val="00FA0B54"/>
    <w:rsid w:val="00FA0CA6"/>
    <w:rsid w:val="00FA1309"/>
    <w:rsid w:val="00FA27B9"/>
    <w:rsid w:val="00FA27D0"/>
    <w:rsid w:val="00FA2CE5"/>
    <w:rsid w:val="00FA2EE8"/>
    <w:rsid w:val="00FA2F3F"/>
    <w:rsid w:val="00FA2F8D"/>
    <w:rsid w:val="00FA32B3"/>
    <w:rsid w:val="00FA3689"/>
    <w:rsid w:val="00FA3733"/>
    <w:rsid w:val="00FA38FA"/>
    <w:rsid w:val="00FA39F6"/>
    <w:rsid w:val="00FA3B7A"/>
    <w:rsid w:val="00FA3D20"/>
    <w:rsid w:val="00FA3E69"/>
    <w:rsid w:val="00FA3F27"/>
    <w:rsid w:val="00FA4251"/>
    <w:rsid w:val="00FA4774"/>
    <w:rsid w:val="00FA4A6A"/>
    <w:rsid w:val="00FA4B6B"/>
    <w:rsid w:val="00FA4C9F"/>
    <w:rsid w:val="00FA50E7"/>
    <w:rsid w:val="00FA51BE"/>
    <w:rsid w:val="00FA5248"/>
    <w:rsid w:val="00FA526D"/>
    <w:rsid w:val="00FA588C"/>
    <w:rsid w:val="00FA5B4A"/>
    <w:rsid w:val="00FA6A0C"/>
    <w:rsid w:val="00FA6D34"/>
    <w:rsid w:val="00FA6F7A"/>
    <w:rsid w:val="00FA7D84"/>
    <w:rsid w:val="00FA83A7"/>
    <w:rsid w:val="00FB0718"/>
    <w:rsid w:val="00FB0836"/>
    <w:rsid w:val="00FB0BE4"/>
    <w:rsid w:val="00FB0CD1"/>
    <w:rsid w:val="00FB0E1A"/>
    <w:rsid w:val="00FB2643"/>
    <w:rsid w:val="00FB282C"/>
    <w:rsid w:val="00FB29DA"/>
    <w:rsid w:val="00FB32E3"/>
    <w:rsid w:val="00FB392B"/>
    <w:rsid w:val="00FB39B7"/>
    <w:rsid w:val="00FB3A56"/>
    <w:rsid w:val="00FB3C05"/>
    <w:rsid w:val="00FB3D09"/>
    <w:rsid w:val="00FB3DF6"/>
    <w:rsid w:val="00FB3E25"/>
    <w:rsid w:val="00FB3F43"/>
    <w:rsid w:val="00FB4483"/>
    <w:rsid w:val="00FB479E"/>
    <w:rsid w:val="00FB4AA9"/>
    <w:rsid w:val="00FB4F23"/>
    <w:rsid w:val="00FB565A"/>
    <w:rsid w:val="00FB58C9"/>
    <w:rsid w:val="00FB5AA2"/>
    <w:rsid w:val="00FB5EA2"/>
    <w:rsid w:val="00FB5F01"/>
    <w:rsid w:val="00FB6089"/>
    <w:rsid w:val="00FB66EB"/>
    <w:rsid w:val="00FB69E4"/>
    <w:rsid w:val="00FB6E20"/>
    <w:rsid w:val="00FB6E68"/>
    <w:rsid w:val="00FB715B"/>
    <w:rsid w:val="00FB72DE"/>
    <w:rsid w:val="00FB7545"/>
    <w:rsid w:val="00FB7CED"/>
    <w:rsid w:val="00FC0719"/>
    <w:rsid w:val="00FC0A44"/>
    <w:rsid w:val="00FC0C2A"/>
    <w:rsid w:val="00FC1CED"/>
    <w:rsid w:val="00FC209D"/>
    <w:rsid w:val="00FC2124"/>
    <w:rsid w:val="00FC2239"/>
    <w:rsid w:val="00FC2950"/>
    <w:rsid w:val="00FC29BD"/>
    <w:rsid w:val="00FC31F8"/>
    <w:rsid w:val="00FC3692"/>
    <w:rsid w:val="00FC3A67"/>
    <w:rsid w:val="00FC3DE4"/>
    <w:rsid w:val="00FC3E12"/>
    <w:rsid w:val="00FC3F17"/>
    <w:rsid w:val="00FC4002"/>
    <w:rsid w:val="00FC41AE"/>
    <w:rsid w:val="00FC44F6"/>
    <w:rsid w:val="00FC4791"/>
    <w:rsid w:val="00FC47C7"/>
    <w:rsid w:val="00FC4BE0"/>
    <w:rsid w:val="00FC4C7B"/>
    <w:rsid w:val="00FC4CFF"/>
    <w:rsid w:val="00FC5295"/>
    <w:rsid w:val="00FC53D8"/>
    <w:rsid w:val="00FC55FA"/>
    <w:rsid w:val="00FC5936"/>
    <w:rsid w:val="00FC5A0F"/>
    <w:rsid w:val="00FC5F37"/>
    <w:rsid w:val="00FC6516"/>
    <w:rsid w:val="00FC6575"/>
    <w:rsid w:val="00FC6808"/>
    <w:rsid w:val="00FC6DA0"/>
    <w:rsid w:val="00FC71AE"/>
    <w:rsid w:val="00FC73B5"/>
    <w:rsid w:val="00FD03DA"/>
    <w:rsid w:val="00FD0607"/>
    <w:rsid w:val="00FD0810"/>
    <w:rsid w:val="00FD168F"/>
    <w:rsid w:val="00FD216F"/>
    <w:rsid w:val="00FD256B"/>
    <w:rsid w:val="00FD286E"/>
    <w:rsid w:val="00FD2953"/>
    <w:rsid w:val="00FD2CDE"/>
    <w:rsid w:val="00FD3696"/>
    <w:rsid w:val="00FD3FFE"/>
    <w:rsid w:val="00FD465F"/>
    <w:rsid w:val="00FD48A2"/>
    <w:rsid w:val="00FD4978"/>
    <w:rsid w:val="00FD4A2A"/>
    <w:rsid w:val="00FD4A66"/>
    <w:rsid w:val="00FD4D8F"/>
    <w:rsid w:val="00FD4F3C"/>
    <w:rsid w:val="00FD509C"/>
    <w:rsid w:val="00FD5188"/>
    <w:rsid w:val="00FD54F3"/>
    <w:rsid w:val="00FD5551"/>
    <w:rsid w:val="00FD571C"/>
    <w:rsid w:val="00FD5999"/>
    <w:rsid w:val="00FD5B97"/>
    <w:rsid w:val="00FD5D0E"/>
    <w:rsid w:val="00FD62DA"/>
    <w:rsid w:val="00FD6D31"/>
    <w:rsid w:val="00FD71AF"/>
    <w:rsid w:val="00FD7E7B"/>
    <w:rsid w:val="00FD7EE7"/>
    <w:rsid w:val="00FE0756"/>
    <w:rsid w:val="00FE0DA2"/>
    <w:rsid w:val="00FE10BB"/>
    <w:rsid w:val="00FE10C5"/>
    <w:rsid w:val="00FE14D7"/>
    <w:rsid w:val="00FE1754"/>
    <w:rsid w:val="00FE177B"/>
    <w:rsid w:val="00FE1C86"/>
    <w:rsid w:val="00FE210C"/>
    <w:rsid w:val="00FE22C6"/>
    <w:rsid w:val="00FE2B55"/>
    <w:rsid w:val="00FE2CBB"/>
    <w:rsid w:val="00FE30DC"/>
    <w:rsid w:val="00FE432E"/>
    <w:rsid w:val="00FE4425"/>
    <w:rsid w:val="00FE45E8"/>
    <w:rsid w:val="00FE4693"/>
    <w:rsid w:val="00FE46B0"/>
    <w:rsid w:val="00FE474B"/>
    <w:rsid w:val="00FE47E6"/>
    <w:rsid w:val="00FE49C9"/>
    <w:rsid w:val="00FE4AB7"/>
    <w:rsid w:val="00FE4B81"/>
    <w:rsid w:val="00FE551F"/>
    <w:rsid w:val="00FE69A1"/>
    <w:rsid w:val="00FE6C6C"/>
    <w:rsid w:val="00FE6E7E"/>
    <w:rsid w:val="00FE7554"/>
    <w:rsid w:val="00FE7570"/>
    <w:rsid w:val="00FE7591"/>
    <w:rsid w:val="00FE7A62"/>
    <w:rsid w:val="00FE7B10"/>
    <w:rsid w:val="00FF0160"/>
    <w:rsid w:val="00FF047F"/>
    <w:rsid w:val="00FF1357"/>
    <w:rsid w:val="00FF1E8A"/>
    <w:rsid w:val="00FF1F47"/>
    <w:rsid w:val="00FF23E3"/>
    <w:rsid w:val="00FF259C"/>
    <w:rsid w:val="00FF3129"/>
    <w:rsid w:val="00FF335F"/>
    <w:rsid w:val="00FF33C2"/>
    <w:rsid w:val="00FF3420"/>
    <w:rsid w:val="00FF3769"/>
    <w:rsid w:val="00FF3850"/>
    <w:rsid w:val="00FF4160"/>
    <w:rsid w:val="00FF41FF"/>
    <w:rsid w:val="00FF449B"/>
    <w:rsid w:val="00FF4BB4"/>
    <w:rsid w:val="00FF5588"/>
    <w:rsid w:val="00FF59F4"/>
    <w:rsid w:val="00FF5D79"/>
    <w:rsid w:val="00FF64CD"/>
    <w:rsid w:val="00FF66D4"/>
    <w:rsid w:val="00FF6BF8"/>
    <w:rsid w:val="00FF78A1"/>
    <w:rsid w:val="0107CD84"/>
    <w:rsid w:val="010DD1A6"/>
    <w:rsid w:val="0120A4B5"/>
    <w:rsid w:val="012A0EB9"/>
    <w:rsid w:val="0141F550"/>
    <w:rsid w:val="0143A4E6"/>
    <w:rsid w:val="01452871"/>
    <w:rsid w:val="014678A6"/>
    <w:rsid w:val="014C9F7E"/>
    <w:rsid w:val="0185FB0B"/>
    <w:rsid w:val="018A0CB3"/>
    <w:rsid w:val="0191D51C"/>
    <w:rsid w:val="01BBCACC"/>
    <w:rsid w:val="01D89A62"/>
    <w:rsid w:val="01E2AF24"/>
    <w:rsid w:val="020C6F89"/>
    <w:rsid w:val="020CF78F"/>
    <w:rsid w:val="020E71EB"/>
    <w:rsid w:val="021FDAE3"/>
    <w:rsid w:val="0223EB96"/>
    <w:rsid w:val="023665DF"/>
    <w:rsid w:val="023DB932"/>
    <w:rsid w:val="023EDF39"/>
    <w:rsid w:val="02906AA6"/>
    <w:rsid w:val="0299410E"/>
    <w:rsid w:val="02B02CEE"/>
    <w:rsid w:val="02C78E96"/>
    <w:rsid w:val="02CC225A"/>
    <w:rsid w:val="02CD42CD"/>
    <w:rsid w:val="02D20049"/>
    <w:rsid w:val="02D34E30"/>
    <w:rsid w:val="02E4A78F"/>
    <w:rsid w:val="031330F3"/>
    <w:rsid w:val="0314DA79"/>
    <w:rsid w:val="031E54A7"/>
    <w:rsid w:val="0338CE55"/>
    <w:rsid w:val="03398F20"/>
    <w:rsid w:val="03727459"/>
    <w:rsid w:val="03B52D6F"/>
    <w:rsid w:val="03C1A576"/>
    <w:rsid w:val="03E0C82F"/>
    <w:rsid w:val="04412A7E"/>
    <w:rsid w:val="0455E904"/>
    <w:rsid w:val="0457FE9B"/>
    <w:rsid w:val="0459584A"/>
    <w:rsid w:val="045B7220"/>
    <w:rsid w:val="045BEE9B"/>
    <w:rsid w:val="0478942A"/>
    <w:rsid w:val="04AF4459"/>
    <w:rsid w:val="04B42F5A"/>
    <w:rsid w:val="04D73C10"/>
    <w:rsid w:val="0505DAE2"/>
    <w:rsid w:val="0513A390"/>
    <w:rsid w:val="0529C83B"/>
    <w:rsid w:val="053481D9"/>
    <w:rsid w:val="054792D5"/>
    <w:rsid w:val="054D2D54"/>
    <w:rsid w:val="0551FD5D"/>
    <w:rsid w:val="055CF519"/>
    <w:rsid w:val="05ABC05F"/>
    <w:rsid w:val="05B50545"/>
    <w:rsid w:val="05BFFAFA"/>
    <w:rsid w:val="05CF156D"/>
    <w:rsid w:val="05D6DD58"/>
    <w:rsid w:val="05F9CF6E"/>
    <w:rsid w:val="0627F0EE"/>
    <w:rsid w:val="062AB238"/>
    <w:rsid w:val="063AD178"/>
    <w:rsid w:val="064ACC28"/>
    <w:rsid w:val="065916C2"/>
    <w:rsid w:val="06655184"/>
    <w:rsid w:val="06745BF6"/>
    <w:rsid w:val="068E2D99"/>
    <w:rsid w:val="0691E3C3"/>
    <w:rsid w:val="06B70103"/>
    <w:rsid w:val="06BB4FBF"/>
    <w:rsid w:val="06BD5742"/>
    <w:rsid w:val="06CE6513"/>
    <w:rsid w:val="06EB3966"/>
    <w:rsid w:val="06F20F93"/>
    <w:rsid w:val="06F46182"/>
    <w:rsid w:val="06F58017"/>
    <w:rsid w:val="0701F3E7"/>
    <w:rsid w:val="0740DFCF"/>
    <w:rsid w:val="07535B76"/>
    <w:rsid w:val="07685890"/>
    <w:rsid w:val="077F7853"/>
    <w:rsid w:val="0783A95E"/>
    <w:rsid w:val="0785F31A"/>
    <w:rsid w:val="078CCDFB"/>
    <w:rsid w:val="0796BD6F"/>
    <w:rsid w:val="07A60CF2"/>
    <w:rsid w:val="07BA54D0"/>
    <w:rsid w:val="07BC0D7C"/>
    <w:rsid w:val="07BE0455"/>
    <w:rsid w:val="07D4101E"/>
    <w:rsid w:val="07D55C8E"/>
    <w:rsid w:val="07DA3913"/>
    <w:rsid w:val="07DC4B0D"/>
    <w:rsid w:val="0818587D"/>
    <w:rsid w:val="0825A38A"/>
    <w:rsid w:val="08298D27"/>
    <w:rsid w:val="08503724"/>
    <w:rsid w:val="08728A5C"/>
    <w:rsid w:val="08768E1B"/>
    <w:rsid w:val="088182D6"/>
    <w:rsid w:val="088C7882"/>
    <w:rsid w:val="089280CE"/>
    <w:rsid w:val="08A2B6A8"/>
    <w:rsid w:val="08A3290C"/>
    <w:rsid w:val="08B15CBC"/>
    <w:rsid w:val="08B9E2D1"/>
    <w:rsid w:val="08C524A1"/>
    <w:rsid w:val="08E2A883"/>
    <w:rsid w:val="08E61244"/>
    <w:rsid w:val="08ED2FDF"/>
    <w:rsid w:val="08F5B6A4"/>
    <w:rsid w:val="091541FC"/>
    <w:rsid w:val="09314E5D"/>
    <w:rsid w:val="094A071F"/>
    <w:rsid w:val="094AEB78"/>
    <w:rsid w:val="0958EFAD"/>
    <w:rsid w:val="0964CB12"/>
    <w:rsid w:val="0977486C"/>
    <w:rsid w:val="0980B3E6"/>
    <w:rsid w:val="09A5908F"/>
    <w:rsid w:val="09BB5BD2"/>
    <w:rsid w:val="09C63B88"/>
    <w:rsid w:val="09CDB088"/>
    <w:rsid w:val="09D6D32D"/>
    <w:rsid w:val="09D7DC26"/>
    <w:rsid w:val="09E0B7BE"/>
    <w:rsid w:val="09E99024"/>
    <w:rsid w:val="09F54A0E"/>
    <w:rsid w:val="09FACB68"/>
    <w:rsid w:val="0A0E77C9"/>
    <w:rsid w:val="0A143C6F"/>
    <w:rsid w:val="0A1952CA"/>
    <w:rsid w:val="0A1AFEFD"/>
    <w:rsid w:val="0A1D937B"/>
    <w:rsid w:val="0A31C572"/>
    <w:rsid w:val="0A3D69BB"/>
    <w:rsid w:val="0A5725E3"/>
    <w:rsid w:val="0A67B52E"/>
    <w:rsid w:val="0A7CAA51"/>
    <w:rsid w:val="0AA8BE19"/>
    <w:rsid w:val="0AB2ACC7"/>
    <w:rsid w:val="0AB42C2A"/>
    <w:rsid w:val="0AC23C36"/>
    <w:rsid w:val="0AC5C1A1"/>
    <w:rsid w:val="0AC7DEE1"/>
    <w:rsid w:val="0AECA157"/>
    <w:rsid w:val="0AECF6DC"/>
    <w:rsid w:val="0B06F903"/>
    <w:rsid w:val="0B1A17B8"/>
    <w:rsid w:val="0B381DC4"/>
    <w:rsid w:val="0B45C2F7"/>
    <w:rsid w:val="0B666188"/>
    <w:rsid w:val="0B66DC42"/>
    <w:rsid w:val="0B75C334"/>
    <w:rsid w:val="0B7874C2"/>
    <w:rsid w:val="0B7B862F"/>
    <w:rsid w:val="0B9F8873"/>
    <w:rsid w:val="0BAA055C"/>
    <w:rsid w:val="0BBA6553"/>
    <w:rsid w:val="0BC85ABA"/>
    <w:rsid w:val="0BD346B0"/>
    <w:rsid w:val="0BE653C2"/>
    <w:rsid w:val="0C130F4B"/>
    <w:rsid w:val="0C1F23EA"/>
    <w:rsid w:val="0C368E66"/>
    <w:rsid w:val="0C56E7C1"/>
    <w:rsid w:val="0C9B8F05"/>
    <w:rsid w:val="0CA272FC"/>
    <w:rsid w:val="0CC1F21A"/>
    <w:rsid w:val="0CC5C4A2"/>
    <w:rsid w:val="0CCB4BE5"/>
    <w:rsid w:val="0CCFE0FA"/>
    <w:rsid w:val="0CE62F23"/>
    <w:rsid w:val="0CF54506"/>
    <w:rsid w:val="0D1696C9"/>
    <w:rsid w:val="0D1D7E4F"/>
    <w:rsid w:val="0D2F196E"/>
    <w:rsid w:val="0D30AE8D"/>
    <w:rsid w:val="0D3C21B9"/>
    <w:rsid w:val="0D5B3212"/>
    <w:rsid w:val="0D6558A2"/>
    <w:rsid w:val="0D6DEF51"/>
    <w:rsid w:val="0D8C6735"/>
    <w:rsid w:val="0D8F5C07"/>
    <w:rsid w:val="0D922C70"/>
    <w:rsid w:val="0D9CFB33"/>
    <w:rsid w:val="0E0C138A"/>
    <w:rsid w:val="0E0DCC72"/>
    <w:rsid w:val="0E198195"/>
    <w:rsid w:val="0E1B78A4"/>
    <w:rsid w:val="0E1DF30E"/>
    <w:rsid w:val="0E2930E3"/>
    <w:rsid w:val="0E299267"/>
    <w:rsid w:val="0E44BF8B"/>
    <w:rsid w:val="0E54B91E"/>
    <w:rsid w:val="0E55DAEC"/>
    <w:rsid w:val="0E586BC0"/>
    <w:rsid w:val="0E6B6BFB"/>
    <w:rsid w:val="0E72865E"/>
    <w:rsid w:val="0E81B1B4"/>
    <w:rsid w:val="0EAAEA00"/>
    <w:rsid w:val="0EBB3333"/>
    <w:rsid w:val="0EE2144C"/>
    <w:rsid w:val="0EED66C0"/>
    <w:rsid w:val="0EF305A1"/>
    <w:rsid w:val="0F14EC52"/>
    <w:rsid w:val="0F165324"/>
    <w:rsid w:val="0F2F36C2"/>
    <w:rsid w:val="0F495228"/>
    <w:rsid w:val="0F4A7427"/>
    <w:rsid w:val="0F5F78B2"/>
    <w:rsid w:val="0F98F4D5"/>
    <w:rsid w:val="0FA2718E"/>
    <w:rsid w:val="0FA5EE2C"/>
    <w:rsid w:val="0FB0FF84"/>
    <w:rsid w:val="0FC90233"/>
    <w:rsid w:val="1008B86F"/>
    <w:rsid w:val="100961A8"/>
    <w:rsid w:val="102FAF0D"/>
    <w:rsid w:val="1036BD0F"/>
    <w:rsid w:val="1048B7DF"/>
    <w:rsid w:val="1072D4AC"/>
    <w:rsid w:val="10D8B812"/>
    <w:rsid w:val="10DF9A02"/>
    <w:rsid w:val="10F8F996"/>
    <w:rsid w:val="110A39DF"/>
    <w:rsid w:val="111A3B87"/>
    <w:rsid w:val="113A52AA"/>
    <w:rsid w:val="1147FDEF"/>
    <w:rsid w:val="116A62A1"/>
    <w:rsid w:val="118B7D98"/>
    <w:rsid w:val="11A3BE69"/>
    <w:rsid w:val="11BB2848"/>
    <w:rsid w:val="11D51641"/>
    <w:rsid w:val="11DAE4F6"/>
    <w:rsid w:val="11FDE133"/>
    <w:rsid w:val="1209CD1E"/>
    <w:rsid w:val="121003FE"/>
    <w:rsid w:val="122C202B"/>
    <w:rsid w:val="123C334D"/>
    <w:rsid w:val="123C4C15"/>
    <w:rsid w:val="12492B12"/>
    <w:rsid w:val="125EA847"/>
    <w:rsid w:val="1264A023"/>
    <w:rsid w:val="12BCF403"/>
    <w:rsid w:val="12C22D0E"/>
    <w:rsid w:val="12DBA397"/>
    <w:rsid w:val="12DBD49B"/>
    <w:rsid w:val="12E960FA"/>
    <w:rsid w:val="13002C08"/>
    <w:rsid w:val="13006A6A"/>
    <w:rsid w:val="130D85A5"/>
    <w:rsid w:val="1322299D"/>
    <w:rsid w:val="13289B2A"/>
    <w:rsid w:val="133D172B"/>
    <w:rsid w:val="134FF0E1"/>
    <w:rsid w:val="135378BA"/>
    <w:rsid w:val="138DB7AB"/>
    <w:rsid w:val="13943359"/>
    <w:rsid w:val="13B19130"/>
    <w:rsid w:val="13B74EDE"/>
    <w:rsid w:val="13E05BD0"/>
    <w:rsid w:val="13F86F8D"/>
    <w:rsid w:val="140DF7B3"/>
    <w:rsid w:val="140F0839"/>
    <w:rsid w:val="1435B257"/>
    <w:rsid w:val="1437CB14"/>
    <w:rsid w:val="143D171B"/>
    <w:rsid w:val="145BCD4E"/>
    <w:rsid w:val="1465E272"/>
    <w:rsid w:val="146EB4DA"/>
    <w:rsid w:val="1475ED5A"/>
    <w:rsid w:val="1480292A"/>
    <w:rsid w:val="14AFF0AB"/>
    <w:rsid w:val="14B3C449"/>
    <w:rsid w:val="14B602B0"/>
    <w:rsid w:val="14C28A60"/>
    <w:rsid w:val="14C4A52B"/>
    <w:rsid w:val="14EDE2F4"/>
    <w:rsid w:val="14F21440"/>
    <w:rsid w:val="14F2768E"/>
    <w:rsid w:val="14F925AC"/>
    <w:rsid w:val="1509FDAC"/>
    <w:rsid w:val="151C9A35"/>
    <w:rsid w:val="1521DC8D"/>
    <w:rsid w:val="1539730E"/>
    <w:rsid w:val="153DDDE0"/>
    <w:rsid w:val="15512718"/>
    <w:rsid w:val="15576B63"/>
    <w:rsid w:val="156518E7"/>
    <w:rsid w:val="1568103E"/>
    <w:rsid w:val="1571A486"/>
    <w:rsid w:val="1586E01D"/>
    <w:rsid w:val="15A67E56"/>
    <w:rsid w:val="15B962C5"/>
    <w:rsid w:val="15BB86D7"/>
    <w:rsid w:val="15D498C1"/>
    <w:rsid w:val="15EC9F14"/>
    <w:rsid w:val="16057EB9"/>
    <w:rsid w:val="160DB798"/>
    <w:rsid w:val="16271A6A"/>
    <w:rsid w:val="162C39F2"/>
    <w:rsid w:val="163A5949"/>
    <w:rsid w:val="164E56F1"/>
    <w:rsid w:val="16586205"/>
    <w:rsid w:val="1678015F"/>
    <w:rsid w:val="167C6F47"/>
    <w:rsid w:val="16894302"/>
    <w:rsid w:val="16B8D8E8"/>
    <w:rsid w:val="16CCEA1D"/>
    <w:rsid w:val="16CEDC07"/>
    <w:rsid w:val="16E63C5E"/>
    <w:rsid w:val="17030168"/>
    <w:rsid w:val="171172F6"/>
    <w:rsid w:val="17222DD2"/>
    <w:rsid w:val="174AD485"/>
    <w:rsid w:val="175BF1A0"/>
    <w:rsid w:val="175C5340"/>
    <w:rsid w:val="17602BBD"/>
    <w:rsid w:val="17694129"/>
    <w:rsid w:val="178E8FD3"/>
    <w:rsid w:val="1798C26E"/>
    <w:rsid w:val="17A33CBE"/>
    <w:rsid w:val="17C9BC26"/>
    <w:rsid w:val="17CD86D4"/>
    <w:rsid w:val="17D587C5"/>
    <w:rsid w:val="17D7A898"/>
    <w:rsid w:val="17D83C85"/>
    <w:rsid w:val="181A7799"/>
    <w:rsid w:val="182D5743"/>
    <w:rsid w:val="182E73CF"/>
    <w:rsid w:val="1849EA6F"/>
    <w:rsid w:val="1859CF22"/>
    <w:rsid w:val="1865AC8E"/>
    <w:rsid w:val="186A62CD"/>
    <w:rsid w:val="187320B1"/>
    <w:rsid w:val="18AD37CD"/>
    <w:rsid w:val="18C47786"/>
    <w:rsid w:val="18CAEA00"/>
    <w:rsid w:val="18F44F10"/>
    <w:rsid w:val="190B616C"/>
    <w:rsid w:val="191980E1"/>
    <w:rsid w:val="192DFDD6"/>
    <w:rsid w:val="19421EFD"/>
    <w:rsid w:val="1942D647"/>
    <w:rsid w:val="1945D983"/>
    <w:rsid w:val="19461EE9"/>
    <w:rsid w:val="194D4697"/>
    <w:rsid w:val="19582379"/>
    <w:rsid w:val="1976D939"/>
    <w:rsid w:val="1980BB1E"/>
    <w:rsid w:val="19836F52"/>
    <w:rsid w:val="19841C3D"/>
    <w:rsid w:val="1987A437"/>
    <w:rsid w:val="19DB95F0"/>
    <w:rsid w:val="19E17560"/>
    <w:rsid w:val="19F8CBF5"/>
    <w:rsid w:val="1A067913"/>
    <w:rsid w:val="1A0AF567"/>
    <w:rsid w:val="1A14D468"/>
    <w:rsid w:val="1A3E0BA7"/>
    <w:rsid w:val="1A46C9A2"/>
    <w:rsid w:val="1A57BA2D"/>
    <w:rsid w:val="1A659111"/>
    <w:rsid w:val="1A70170A"/>
    <w:rsid w:val="1AA0262B"/>
    <w:rsid w:val="1AAE01B5"/>
    <w:rsid w:val="1ACCD428"/>
    <w:rsid w:val="1ACE8438"/>
    <w:rsid w:val="1AF04302"/>
    <w:rsid w:val="1AFB5FD6"/>
    <w:rsid w:val="1B02DEDF"/>
    <w:rsid w:val="1B1D54AA"/>
    <w:rsid w:val="1B2C0FDE"/>
    <w:rsid w:val="1B2E0A68"/>
    <w:rsid w:val="1B33CA51"/>
    <w:rsid w:val="1B3C394E"/>
    <w:rsid w:val="1B437A71"/>
    <w:rsid w:val="1B48284C"/>
    <w:rsid w:val="1B50E239"/>
    <w:rsid w:val="1B6A96B1"/>
    <w:rsid w:val="1B8DC985"/>
    <w:rsid w:val="1B9E3833"/>
    <w:rsid w:val="1BA6F25B"/>
    <w:rsid w:val="1BF4EBE2"/>
    <w:rsid w:val="1C0EBB9E"/>
    <w:rsid w:val="1C107125"/>
    <w:rsid w:val="1C12C52A"/>
    <w:rsid w:val="1C18C2A0"/>
    <w:rsid w:val="1C3F9416"/>
    <w:rsid w:val="1C467BDD"/>
    <w:rsid w:val="1C491403"/>
    <w:rsid w:val="1C4EF390"/>
    <w:rsid w:val="1C50A699"/>
    <w:rsid w:val="1C5B98BB"/>
    <w:rsid w:val="1C813D35"/>
    <w:rsid w:val="1C94D873"/>
    <w:rsid w:val="1C9AB9DB"/>
    <w:rsid w:val="1CAB635E"/>
    <w:rsid w:val="1CABD6BA"/>
    <w:rsid w:val="1CB6153D"/>
    <w:rsid w:val="1CF0F23E"/>
    <w:rsid w:val="1D089090"/>
    <w:rsid w:val="1D16665A"/>
    <w:rsid w:val="1D262951"/>
    <w:rsid w:val="1D26A8D1"/>
    <w:rsid w:val="1D4902A0"/>
    <w:rsid w:val="1D5B2ABB"/>
    <w:rsid w:val="1D669239"/>
    <w:rsid w:val="1D6A929E"/>
    <w:rsid w:val="1D7B53B1"/>
    <w:rsid w:val="1D8FD116"/>
    <w:rsid w:val="1DC9E439"/>
    <w:rsid w:val="1DD1E908"/>
    <w:rsid w:val="1DDA7DCD"/>
    <w:rsid w:val="1DE1FA0D"/>
    <w:rsid w:val="1DEED40C"/>
    <w:rsid w:val="1DF5D8F2"/>
    <w:rsid w:val="1E14C850"/>
    <w:rsid w:val="1E18D16E"/>
    <w:rsid w:val="1E31D54C"/>
    <w:rsid w:val="1E3794DC"/>
    <w:rsid w:val="1E424ED6"/>
    <w:rsid w:val="1E439555"/>
    <w:rsid w:val="1E493E11"/>
    <w:rsid w:val="1E4B3094"/>
    <w:rsid w:val="1E4F3703"/>
    <w:rsid w:val="1E66DE3A"/>
    <w:rsid w:val="1E74A5BB"/>
    <w:rsid w:val="1E79A181"/>
    <w:rsid w:val="1E83AA16"/>
    <w:rsid w:val="1E842427"/>
    <w:rsid w:val="1EA27449"/>
    <w:rsid w:val="1EAF6C76"/>
    <w:rsid w:val="1EC1BCB9"/>
    <w:rsid w:val="1EC6CD09"/>
    <w:rsid w:val="1EC8A073"/>
    <w:rsid w:val="1EF7FB11"/>
    <w:rsid w:val="1F089CB8"/>
    <w:rsid w:val="1F1D5859"/>
    <w:rsid w:val="1F2C5D78"/>
    <w:rsid w:val="1F4E66FF"/>
    <w:rsid w:val="1F5EE6B1"/>
    <w:rsid w:val="1F8DEB45"/>
    <w:rsid w:val="1F8ED853"/>
    <w:rsid w:val="1F98AD1F"/>
    <w:rsid w:val="1FA4DBD5"/>
    <w:rsid w:val="1FAD437E"/>
    <w:rsid w:val="1FD2B653"/>
    <w:rsid w:val="1FDA5541"/>
    <w:rsid w:val="1FEE14E8"/>
    <w:rsid w:val="2006D9E6"/>
    <w:rsid w:val="202A2755"/>
    <w:rsid w:val="2052BB5F"/>
    <w:rsid w:val="2069BD06"/>
    <w:rsid w:val="207CDEEE"/>
    <w:rsid w:val="208CBB5B"/>
    <w:rsid w:val="20BE9CC6"/>
    <w:rsid w:val="20C5EB29"/>
    <w:rsid w:val="2110A0B6"/>
    <w:rsid w:val="2118A9B1"/>
    <w:rsid w:val="212FB609"/>
    <w:rsid w:val="2135BF60"/>
    <w:rsid w:val="214E069B"/>
    <w:rsid w:val="215488E2"/>
    <w:rsid w:val="2182EE0B"/>
    <w:rsid w:val="21999E82"/>
    <w:rsid w:val="21B1C26E"/>
    <w:rsid w:val="21BA4F3E"/>
    <w:rsid w:val="21C775E2"/>
    <w:rsid w:val="21DD0C97"/>
    <w:rsid w:val="21E1F4BC"/>
    <w:rsid w:val="21E75084"/>
    <w:rsid w:val="21FA21D9"/>
    <w:rsid w:val="21FE0ABD"/>
    <w:rsid w:val="2214299D"/>
    <w:rsid w:val="224824F6"/>
    <w:rsid w:val="22534979"/>
    <w:rsid w:val="225E58C2"/>
    <w:rsid w:val="228A5C0E"/>
    <w:rsid w:val="228F6205"/>
    <w:rsid w:val="22923BFB"/>
    <w:rsid w:val="229C6FFE"/>
    <w:rsid w:val="22B3242F"/>
    <w:rsid w:val="22E0AD0C"/>
    <w:rsid w:val="2301388D"/>
    <w:rsid w:val="23043E82"/>
    <w:rsid w:val="231B805C"/>
    <w:rsid w:val="232153AB"/>
    <w:rsid w:val="2326C1EF"/>
    <w:rsid w:val="2341DB7F"/>
    <w:rsid w:val="2342AD62"/>
    <w:rsid w:val="236EDD22"/>
    <w:rsid w:val="23733AC8"/>
    <w:rsid w:val="23744396"/>
    <w:rsid w:val="238B7790"/>
    <w:rsid w:val="23A03FEA"/>
    <w:rsid w:val="23AAD8BC"/>
    <w:rsid w:val="23C6DEB0"/>
    <w:rsid w:val="23D50143"/>
    <w:rsid w:val="23D619C7"/>
    <w:rsid w:val="23EC996F"/>
    <w:rsid w:val="23F6896B"/>
    <w:rsid w:val="24124564"/>
    <w:rsid w:val="244E2A15"/>
    <w:rsid w:val="245393B0"/>
    <w:rsid w:val="2460278A"/>
    <w:rsid w:val="247054B0"/>
    <w:rsid w:val="2475B938"/>
    <w:rsid w:val="2476B2C3"/>
    <w:rsid w:val="247E43F0"/>
    <w:rsid w:val="24963296"/>
    <w:rsid w:val="24AAD2F3"/>
    <w:rsid w:val="24B0097C"/>
    <w:rsid w:val="24C2C596"/>
    <w:rsid w:val="24D3960B"/>
    <w:rsid w:val="24D6C397"/>
    <w:rsid w:val="24F8085C"/>
    <w:rsid w:val="25003DD3"/>
    <w:rsid w:val="252DB396"/>
    <w:rsid w:val="2564BBEB"/>
    <w:rsid w:val="256926ED"/>
    <w:rsid w:val="25734272"/>
    <w:rsid w:val="259A6DA2"/>
    <w:rsid w:val="25A1922C"/>
    <w:rsid w:val="25D78145"/>
    <w:rsid w:val="25D88337"/>
    <w:rsid w:val="25E6F17F"/>
    <w:rsid w:val="25FC75DB"/>
    <w:rsid w:val="26037ACB"/>
    <w:rsid w:val="26040722"/>
    <w:rsid w:val="261F345A"/>
    <w:rsid w:val="263BB4EF"/>
    <w:rsid w:val="2641F685"/>
    <w:rsid w:val="264948F2"/>
    <w:rsid w:val="265DB37C"/>
    <w:rsid w:val="266F93C2"/>
    <w:rsid w:val="26735CD8"/>
    <w:rsid w:val="26818018"/>
    <w:rsid w:val="26A89F27"/>
    <w:rsid w:val="26ABAB8F"/>
    <w:rsid w:val="26C94FB2"/>
    <w:rsid w:val="26D9F151"/>
    <w:rsid w:val="26D9FE0F"/>
    <w:rsid w:val="26E63565"/>
    <w:rsid w:val="2708BF8C"/>
    <w:rsid w:val="27159EA6"/>
    <w:rsid w:val="272C634B"/>
    <w:rsid w:val="272E2AEB"/>
    <w:rsid w:val="273264A7"/>
    <w:rsid w:val="27404BD5"/>
    <w:rsid w:val="276845D3"/>
    <w:rsid w:val="278CB780"/>
    <w:rsid w:val="2795C1E8"/>
    <w:rsid w:val="27C0136B"/>
    <w:rsid w:val="27C25AD1"/>
    <w:rsid w:val="27C49314"/>
    <w:rsid w:val="27F6C110"/>
    <w:rsid w:val="27F949DA"/>
    <w:rsid w:val="28026353"/>
    <w:rsid w:val="2831F583"/>
    <w:rsid w:val="28393248"/>
    <w:rsid w:val="28617909"/>
    <w:rsid w:val="2881B0F0"/>
    <w:rsid w:val="2881F296"/>
    <w:rsid w:val="288C6D4E"/>
    <w:rsid w:val="2890A7A6"/>
    <w:rsid w:val="289E941C"/>
    <w:rsid w:val="28A121F2"/>
    <w:rsid w:val="28AFB473"/>
    <w:rsid w:val="28B6B286"/>
    <w:rsid w:val="28B6B514"/>
    <w:rsid w:val="28BAC1B8"/>
    <w:rsid w:val="28BC6116"/>
    <w:rsid w:val="28D4B2CB"/>
    <w:rsid w:val="28E912C6"/>
    <w:rsid w:val="28EB04D8"/>
    <w:rsid w:val="28EC6F89"/>
    <w:rsid w:val="28EDD546"/>
    <w:rsid w:val="290151AB"/>
    <w:rsid w:val="29111042"/>
    <w:rsid w:val="291ED345"/>
    <w:rsid w:val="292596F1"/>
    <w:rsid w:val="292F7902"/>
    <w:rsid w:val="29442FEE"/>
    <w:rsid w:val="2976BA43"/>
    <w:rsid w:val="29797FBF"/>
    <w:rsid w:val="299149A3"/>
    <w:rsid w:val="2995627C"/>
    <w:rsid w:val="29A58A75"/>
    <w:rsid w:val="29ADA0A1"/>
    <w:rsid w:val="29BE1055"/>
    <w:rsid w:val="29CAD9D3"/>
    <w:rsid w:val="29DBBA31"/>
    <w:rsid w:val="2A15092A"/>
    <w:rsid w:val="2A26C7E5"/>
    <w:rsid w:val="2A2EFA78"/>
    <w:rsid w:val="2A2F0D1A"/>
    <w:rsid w:val="2A4B556A"/>
    <w:rsid w:val="2A4CB104"/>
    <w:rsid w:val="2A4DC8C2"/>
    <w:rsid w:val="2A52E8FC"/>
    <w:rsid w:val="2A5E9B4F"/>
    <w:rsid w:val="2A5F3B75"/>
    <w:rsid w:val="2A67ED9C"/>
    <w:rsid w:val="2A728500"/>
    <w:rsid w:val="2A8D24FB"/>
    <w:rsid w:val="2AAEA3DB"/>
    <w:rsid w:val="2AB2E67B"/>
    <w:rsid w:val="2ABB08E9"/>
    <w:rsid w:val="2ACB1B4D"/>
    <w:rsid w:val="2AD4E78F"/>
    <w:rsid w:val="2AF6EBE2"/>
    <w:rsid w:val="2B113C60"/>
    <w:rsid w:val="2B21AA17"/>
    <w:rsid w:val="2B24A3A7"/>
    <w:rsid w:val="2B2D8722"/>
    <w:rsid w:val="2B300494"/>
    <w:rsid w:val="2B5AC2EE"/>
    <w:rsid w:val="2B7145B4"/>
    <w:rsid w:val="2B759850"/>
    <w:rsid w:val="2BF2A030"/>
    <w:rsid w:val="2C04B8D5"/>
    <w:rsid w:val="2C05BCA7"/>
    <w:rsid w:val="2C21346C"/>
    <w:rsid w:val="2C2151DB"/>
    <w:rsid w:val="2C560213"/>
    <w:rsid w:val="2C568001"/>
    <w:rsid w:val="2C62166D"/>
    <w:rsid w:val="2C6F8FF3"/>
    <w:rsid w:val="2C74D2A7"/>
    <w:rsid w:val="2C7B831F"/>
    <w:rsid w:val="2C830AF0"/>
    <w:rsid w:val="2CBC3064"/>
    <w:rsid w:val="2CBF026F"/>
    <w:rsid w:val="2CC671B8"/>
    <w:rsid w:val="2CD3D23A"/>
    <w:rsid w:val="2CF2CA43"/>
    <w:rsid w:val="2CF745EE"/>
    <w:rsid w:val="2D0D97DF"/>
    <w:rsid w:val="2D1A5416"/>
    <w:rsid w:val="2D2B44E4"/>
    <w:rsid w:val="2D34334D"/>
    <w:rsid w:val="2D37B0C8"/>
    <w:rsid w:val="2D6A9B27"/>
    <w:rsid w:val="2D7A29FD"/>
    <w:rsid w:val="2DB3AE6B"/>
    <w:rsid w:val="2DD6E420"/>
    <w:rsid w:val="2DDADA9F"/>
    <w:rsid w:val="2DDFAA09"/>
    <w:rsid w:val="2DEE6C0C"/>
    <w:rsid w:val="2DFAEEA9"/>
    <w:rsid w:val="2DFCFD76"/>
    <w:rsid w:val="2E184AFB"/>
    <w:rsid w:val="2E3CD29D"/>
    <w:rsid w:val="2E4E5317"/>
    <w:rsid w:val="2E558648"/>
    <w:rsid w:val="2E63683C"/>
    <w:rsid w:val="2E6A7E65"/>
    <w:rsid w:val="2E7E9C0A"/>
    <w:rsid w:val="2E8C485B"/>
    <w:rsid w:val="2EB3A4A7"/>
    <w:rsid w:val="2EB4132A"/>
    <w:rsid w:val="2EB5265F"/>
    <w:rsid w:val="2EBBC75D"/>
    <w:rsid w:val="2EC0FF60"/>
    <w:rsid w:val="2EC36FB5"/>
    <w:rsid w:val="2EF019F8"/>
    <w:rsid w:val="2F06218D"/>
    <w:rsid w:val="2F217FD2"/>
    <w:rsid w:val="2F265F50"/>
    <w:rsid w:val="2F2D9EF6"/>
    <w:rsid w:val="2F3004E2"/>
    <w:rsid w:val="2F33FAA7"/>
    <w:rsid w:val="2F6E13CF"/>
    <w:rsid w:val="2FAB7DBA"/>
    <w:rsid w:val="2FBF135D"/>
    <w:rsid w:val="2FCCC7FA"/>
    <w:rsid w:val="2FD2CF6D"/>
    <w:rsid w:val="2FD5DF66"/>
    <w:rsid w:val="2FDC59F3"/>
    <w:rsid w:val="2FE34793"/>
    <w:rsid w:val="2FECE149"/>
    <w:rsid w:val="3007EDB2"/>
    <w:rsid w:val="30242E0E"/>
    <w:rsid w:val="3038315D"/>
    <w:rsid w:val="30504FA9"/>
    <w:rsid w:val="30517EAA"/>
    <w:rsid w:val="305AD60A"/>
    <w:rsid w:val="305CC4A9"/>
    <w:rsid w:val="308A4F6F"/>
    <w:rsid w:val="308ACB6E"/>
    <w:rsid w:val="3098134B"/>
    <w:rsid w:val="30C300E2"/>
    <w:rsid w:val="30DC9C88"/>
    <w:rsid w:val="30F792EE"/>
    <w:rsid w:val="31227480"/>
    <w:rsid w:val="31265F68"/>
    <w:rsid w:val="313D3861"/>
    <w:rsid w:val="31649652"/>
    <w:rsid w:val="316FE046"/>
    <w:rsid w:val="318CCB93"/>
    <w:rsid w:val="318E8F80"/>
    <w:rsid w:val="3195FB8B"/>
    <w:rsid w:val="31986409"/>
    <w:rsid w:val="31BAF687"/>
    <w:rsid w:val="31BF84CA"/>
    <w:rsid w:val="31CFD59B"/>
    <w:rsid w:val="31DC2581"/>
    <w:rsid w:val="31E915F5"/>
    <w:rsid w:val="31ED8728"/>
    <w:rsid w:val="31F4FE2A"/>
    <w:rsid w:val="31F502D7"/>
    <w:rsid w:val="31F50810"/>
    <w:rsid w:val="31FED405"/>
    <w:rsid w:val="3206DC21"/>
    <w:rsid w:val="3214B540"/>
    <w:rsid w:val="3231A9DA"/>
    <w:rsid w:val="324C1E0A"/>
    <w:rsid w:val="324DC100"/>
    <w:rsid w:val="3266A69A"/>
    <w:rsid w:val="327C20B2"/>
    <w:rsid w:val="3287F3C6"/>
    <w:rsid w:val="3288E858"/>
    <w:rsid w:val="328E3655"/>
    <w:rsid w:val="328EB0F1"/>
    <w:rsid w:val="329D9B4D"/>
    <w:rsid w:val="32A4F58C"/>
    <w:rsid w:val="32F0147C"/>
    <w:rsid w:val="33095743"/>
    <w:rsid w:val="3331686C"/>
    <w:rsid w:val="334A096B"/>
    <w:rsid w:val="334CB1ED"/>
    <w:rsid w:val="335753C7"/>
    <w:rsid w:val="336D411C"/>
    <w:rsid w:val="336FCA13"/>
    <w:rsid w:val="33731836"/>
    <w:rsid w:val="338381D9"/>
    <w:rsid w:val="338B9F3D"/>
    <w:rsid w:val="338BFF48"/>
    <w:rsid w:val="338E3EDC"/>
    <w:rsid w:val="3396086D"/>
    <w:rsid w:val="33BC530F"/>
    <w:rsid w:val="33BF1C5B"/>
    <w:rsid w:val="33BF915C"/>
    <w:rsid w:val="33DFEFFE"/>
    <w:rsid w:val="33E53577"/>
    <w:rsid w:val="33F53F62"/>
    <w:rsid w:val="34093D60"/>
    <w:rsid w:val="340C41F8"/>
    <w:rsid w:val="34153E5A"/>
    <w:rsid w:val="34232315"/>
    <w:rsid w:val="3436CB0D"/>
    <w:rsid w:val="343ACE2A"/>
    <w:rsid w:val="345EDC05"/>
    <w:rsid w:val="3461B28D"/>
    <w:rsid w:val="346616AD"/>
    <w:rsid w:val="3469D6A7"/>
    <w:rsid w:val="346D5DD7"/>
    <w:rsid w:val="349E0A34"/>
    <w:rsid w:val="34A56E8D"/>
    <w:rsid w:val="34A98243"/>
    <w:rsid w:val="34B09F7D"/>
    <w:rsid w:val="34CA5D5F"/>
    <w:rsid w:val="34CC5802"/>
    <w:rsid w:val="350D61B4"/>
    <w:rsid w:val="35100A70"/>
    <w:rsid w:val="3513923B"/>
    <w:rsid w:val="353E7C76"/>
    <w:rsid w:val="35508365"/>
    <w:rsid w:val="3573B591"/>
    <w:rsid w:val="358E59F9"/>
    <w:rsid w:val="3598C615"/>
    <w:rsid w:val="35A584FD"/>
    <w:rsid w:val="35BD66CD"/>
    <w:rsid w:val="35BF93C7"/>
    <w:rsid w:val="35C41343"/>
    <w:rsid w:val="35CB7F6A"/>
    <w:rsid w:val="35DA74D9"/>
    <w:rsid w:val="35FB6006"/>
    <w:rsid w:val="362C95BB"/>
    <w:rsid w:val="36481E28"/>
    <w:rsid w:val="365D7EF9"/>
    <w:rsid w:val="3679CD99"/>
    <w:rsid w:val="367C373D"/>
    <w:rsid w:val="368CDE72"/>
    <w:rsid w:val="36A5100E"/>
    <w:rsid w:val="36A59BDC"/>
    <w:rsid w:val="36B5D2FC"/>
    <w:rsid w:val="36B88B55"/>
    <w:rsid w:val="37024A3F"/>
    <w:rsid w:val="370348DA"/>
    <w:rsid w:val="3705DDD2"/>
    <w:rsid w:val="37078884"/>
    <w:rsid w:val="37172387"/>
    <w:rsid w:val="3730697D"/>
    <w:rsid w:val="3750B4C2"/>
    <w:rsid w:val="3755879B"/>
    <w:rsid w:val="376DBBA9"/>
    <w:rsid w:val="377F535C"/>
    <w:rsid w:val="3787C061"/>
    <w:rsid w:val="3789A5AF"/>
    <w:rsid w:val="37C155A9"/>
    <w:rsid w:val="37C31D1E"/>
    <w:rsid w:val="37D3D5F6"/>
    <w:rsid w:val="37ED04AF"/>
    <w:rsid w:val="37EFC35A"/>
    <w:rsid w:val="37F578CF"/>
    <w:rsid w:val="380B4F29"/>
    <w:rsid w:val="3810A2B7"/>
    <w:rsid w:val="385297D4"/>
    <w:rsid w:val="3855FDE2"/>
    <w:rsid w:val="3877E9E2"/>
    <w:rsid w:val="3878CC61"/>
    <w:rsid w:val="38B1F0C8"/>
    <w:rsid w:val="38E14A65"/>
    <w:rsid w:val="38E1B276"/>
    <w:rsid w:val="38F5CAA6"/>
    <w:rsid w:val="3921C9C4"/>
    <w:rsid w:val="3922A969"/>
    <w:rsid w:val="39774367"/>
    <w:rsid w:val="39B0DBAD"/>
    <w:rsid w:val="39B7F0F4"/>
    <w:rsid w:val="39C6170D"/>
    <w:rsid w:val="39C6DA2E"/>
    <w:rsid w:val="3A2EFBF0"/>
    <w:rsid w:val="3A4540B3"/>
    <w:rsid w:val="3A4A46B7"/>
    <w:rsid w:val="3A598472"/>
    <w:rsid w:val="3A685D3D"/>
    <w:rsid w:val="3A83907D"/>
    <w:rsid w:val="3A83D831"/>
    <w:rsid w:val="3A9684AC"/>
    <w:rsid w:val="3B008CF9"/>
    <w:rsid w:val="3B01A085"/>
    <w:rsid w:val="3B0735CF"/>
    <w:rsid w:val="3B0AB82E"/>
    <w:rsid w:val="3B21B700"/>
    <w:rsid w:val="3B3F5979"/>
    <w:rsid w:val="3B474779"/>
    <w:rsid w:val="3B6A52AF"/>
    <w:rsid w:val="3B7904C7"/>
    <w:rsid w:val="3BA1A358"/>
    <w:rsid w:val="3BCBEF80"/>
    <w:rsid w:val="3BD6B23D"/>
    <w:rsid w:val="3C0394F1"/>
    <w:rsid w:val="3C20D4B4"/>
    <w:rsid w:val="3C321843"/>
    <w:rsid w:val="3C3709CB"/>
    <w:rsid w:val="3C387B10"/>
    <w:rsid w:val="3C3DE0A5"/>
    <w:rsid w:val="3C5BAB8C"/>
    <w:rsid w:val="3C60F4F5"/>
    <w:rsid w:val="3CAA9554"/>
    <w:rsid w:val="3CAE4FB6"/>
    <w:rsid w:val="3CAFC8D2"/>
    <w:rsid w:val="3CB70451"/>
    <w:rsid w:val="3CE23C64"/>
    <w:rsid w:val="3CED9C7C"/>
    <w:rsid w:val="3CF8C6A0"/>
    <w:rsid w:val="3CF9943A"/>
    <w:rsid w:val="3CFBFAA4"/>
    <w:rsid w:val="3D169667"/>
    <w:rsid w:val="3D5A6B5C"/>
    <w:rsid w:val="3D774492"/>
    <w:rsid w:val="3DA33971"/>
    <w:rsid w:val="3DB0FA15"/>
    <w:rsid w:val="3DC7CB0B"/>
    <w:rsid w:val="3DEABABC"/>
    <w:rsid w:val="3E271B99"/>
    <w:rsid w:val="3E29A1E6"/>
    <w:rsid w:val="3E412CDC"/>
    <w:rsid w:val="3E6BDD68"/>
    <w:rsid w:val="3E87EB6B"/>
    <w:rsid w:val="3E9ACE92"/>
    <w:rsid w:val="3E9B2AAE"/>
    <w:rsid w:val="3EFA1815"/>
    <w:rsid w:val="3F10D81D"/>
    <w:rsid w:val="3F1EAF95"/>
    <w:rsid w:val="3F3F3798"/>
    <w:rsid w:val="3F48480B"/>
    <w:rsid w:val="3F6C287D"/>
    <w:rsid w:val="3F7B0407"/>
    <w:rsid w:val="3F7B8DEF"/>
    <w:rsid w:val="3FA0C999"/>
    <w:rsid w:val="3FA252EA"/>
    <w:rsid w:val="3FADA2AD"/>
    <w:rsid w:val="3FBB4191"/>
    <w:rsid w:val="3FF0D97E"/>
    <w:rsid w:val="4023505E"/>
    <w:rsid w:val="40298DD1"/>
    <w:rsid w:val="4042A0B2"/>
    <w:rsid w:val="40445541"/>
    <w:rsid w:val="406692EF"/>
    <w:rsid w:val="406BEB1F"/>
    <w:rsid w:val="4071967B"/>
    <w:rsid w:val="4079ED91"/>
    <w:rsid w:val="4084B9FF"/>
    <w:rsid w:val="408AA738"/>
    <w:rsid w:val="409BC4E0"/>
    <w:rsid w:val="40AD5405"/>
    <w:rsid w:val="40B66455"/>
    <w:rsid w:val="40B6E886"/>
    <w:rsid w:val="40B8BBC5"/>
    <w:rsid w:val="40CF8EC1"/>
    <w:rsid w:val="40D73D6F"/>
    <w:rsid w:val="4107A691"/>
    <w:rsid w:val="412BE0D6"/>
    <w:rsid w:val="41326274"/>
    <w:rsid w:val="41404DCC"/>
    <w:rsid w:val="4165C8B7"/>
    <w:rsid w:val="4171E3AE"/>
    <w:rsid w:val="41757963"/>
    <w:rsid w:val="4184C98F"/>
    <w:rsid w:val="41A748AC"/>
    <w:rsid w:val="41BDA9F6"/>
    <w:rsid w:val="41C0CA6C"/>
    <w:rsid w:val="41D71DEE"/>
    <w:rsid w:val="41F10988"/>
    <w:rsid w:val="4222E618"/>
    <w:rsid w:val="423B12EA"/>
    <w:rsid w:val="4266A412"/>
    <w:rsid w:val="426961A8"/>
    <w:rsid w:val="42891AEA"/>
    <w:rsid w:val="42AF8BCF"/>
    <w:rsid w:val="42BF78BC"/>
    <w:rsid w:val="42DCF061"/>
    <w:rsid w:val="432A7CFD"/>
    <w:rsid w:val="432B92F9"/>
    <w:rsid w:val="4336C4B4"/>
    <w:rsid w:val="433B9D15"/>
    <w:rsid w:val="43487126"/>
    <w:rsid w:val="43570747"/>
    <w:rsid w:val="437E56B7"/>
    <w:rsid w:val="437E992A"/>
    <w:rsid w:val="4389DCB5"/>
    <w:rsid w:val="439A97B5"/>
    <w:rsid w:val="43A14700"/>
    <w:rsid w:val="43BF934F"/>
    <w:rsid w:val="43C0DE1A"/>
    <w:rsid w:val="43F407BD"/>
    <w:rsid w:val="43F741AA"/>
    <w:rsid w:val="4449E7CA"/>
    <w:rsid w:val="44583B63"/>
    <w:rsid w:val="446BD08F"/>
    <w:rsid w:val="446E896B"/>
    <w:rsid w:val="4470F57C"/>
    <w:rsid w:val="448EBEFF"/>
    <w:rsid w:val="44A07399"/>
    <w:rsid w:val="44C46D2C"/>
    <w:rsid w:val="44C7D761"/>
    <w:rsid w:val="44C945C8"/>
    <w:rsid w:val="44CC5B58"/>
    <w:rsid w:val="44DBC891"/>
    <w:rsid w:val="44EC1A7F"/>
    <w:rsid w:val="44EF23CC"/>
    <w:rsid w:val="44FE38E7"/>
    <w:rsid w:val="45041197"/>
    <w:rsid w:val="4508F5B4"/>
    <w:rsid w:val="454C049C"/>
    <w:rsid w:val="454C6E4B"/>
    <w:rsid w:val="4552C44F"/>
    <w:rsid w:val="45591FD6"/>
    <w:rsid w:val="45669FFB"/>
    <w:rsid w:val="458CBB17"/>
    <w:rsid w:val="459310ED"/>
    <w:rsid w:val="459C315C"/>
    <w:rsid w:val="45AE2F8F"/>
    <w:rsid w:val="45BD8ECD"/>
    <w:rsid w:val="45E9E2D1"/>
    <w:rsid w:val="45EF15F4"/>
    <w:rsid w:val="45F05071"/>
    <w:rsid w:val="45F3E551"/>
    <w:rsid w:val="460A26B6"/>
    <w:rsid w:val="460EA746"/>
    <w:rsid w:val="4612A7FE"/>
    <w:rsid w:val="461FE8E3"/>
    <w:rsid w:val="4630FE69"/>
    <w:rsid w:val="463D8AE3"/>
    <w:rsid w:val="464E6BD7"/>
    <w:rsid w:val="464EA32A"/>
    <w:rsid w:val="4653E04C"/>
    <w:rsid w:val="4663F6D8"/>
    <w:rsid w:val="4670EBBB"/>
    <w:rsid w:val="46972EC8"/>
    <w:rsid w:val="469DA0C4"/>
    <w:rsid w:val="469FC093"/>
    <w:rsid w:val="46A35B5A"/>
    <w:rsid w:val="46B33365"/>
    <w:rsid w:val="46C5260D"/>
    <w:rsid w:val="46C64B97"/>
    <w:rsid w:val="46D38F2A"/>
    <w:rsid w:val="46D666DA"/>
    <w:rsid w:val="46DF1652"/>
    <w:rsid w:val="46E73EE8"/>
    <w:rsid w:val="46F7409E"/>
    <w:rsid w:val="4721B558"/>
    <w:rsid w:val="474A3859"/>
    <w:rsid w:val="475DE830"/>
    <w:rsid w:val="47612A15"/>
    <w:rsid w:val="4772C64A"/>
    <w:rsid w:val="4787BC89"/>
    <w:rsid w:val="478E2DF3"/>
    <w:rsid w:val="47A516BB"/>
    <w:rsid w:val="47AED4A2"/>
    <w:rsid w:val="47C69529"/>
    <w:rsid w:val="47CEAC9F"/>
    <w:rsid w:val="47F04B41"/>
    <w:rsid w:val="47F562A6"/>
    <w:rsid w:val="47FCD41D"/>
    <w:rsid w:val="48132014"/>
    <w:rsid w:val="481C4383"/>
    <w:rsid w:val="481D8F45"/>
    <w:rsid w:val="48241039"/>
    <w:rsid w:val="4840F095"/>
    <w:rsid w:val="4844FCB0"/>
    <w:rsid w:val="484A1FF4"/>
    <w:rsid w:val="486FFB52"/>
    <w:rsid w:val="4874CAC4"/>
    <w:rsid w:val="4878B4FA"/>
    <w:rsid w:val="488715F9"/>
    <w:rsid w:val="489005A9"/>
    <w:rsid w:val="489F1EBD"/>
    <w:rsid w:val="48B4EB3F"/>
    <w:rsid w:val="48DC946B"/>
    <w:rsid w:val="48F1F8C7"/>
    <w:rsid w:val="48F37E2D"/>
    <w:rsid w:val="49398662"/>
    <w:rsid w:val="4941435B"/>
    <w:rsid w:val="494E3250"/>
    <w:rsid w:val="49512E92"/>
    <w:rsid w:val="4954E1E3"/>
    <w:rsid w:val="4955DE3D"/>
    <w:rsid w:val="495F5D8B"/>
    <w:rsid w:val="4964B77C"/>
    <w:rsid w:val="4977ACDA"/>
    <w:rsid w:val="4979A4E3"/>
    <w:rsid w:val="497A0F9B"/>
    <w:rsid w:val="49889890"/>
    <w:rsid w:val="4995C2C0"/>
    <w:rsid w:val="49A33B16"/>
    <w:rsid w:val="49A75A02"/>
    <w:rsid w:val="49B1C701"/>
    <w:rsid w:val="49B7C863"/>
    <w:rsid w:val="49CF3DF1"/>
    <w:rsid w:val="49E7D8B8"/>
    <w:rsid w:val="49E9D71E"/>
    <w:rsid w:val="49ECEE43"/>
    <w:rsid w:val="4A0002AF"/>
    <w:rsid w:val="4A18E358"/>
    <w:rsid w:val="4A220DA9"/>
    <w:rsid w:val="4A271387"/>
    <w:rsid w:val="4A27E7A3"/>
    <w:rsid w:val="4A3CE9C0"/>
    <w:rsid w:val="4A84AFB1"/>
    <w:rsid w:val="4A84BF45"/>
    <w:rsid w:val="4A97B217"/>
    <w:rsid w:val="4AC31B16"/>
    <w:rsid w:val="4AC3A57E"/>
    <w:rsid w:val="4AC906C5"/>
    <w:rsid w:val="4AE5BF81"/>
    <w:rsid w:val="4AEC8BCA"/>
    <w:rsid w:val="4AFC577B"/>
    <w:rsid w:val="4B1DD805"/>
    <w:rsid w:val="4B24CF80"/>
    <w:rsid w:val="4B3529CF"/>
    <w:rsid w:val="4B3AC0EE"/>
    <w:rsid w:val="4B6981D5"/>
    <w:rsid w:val="4B6BD53D"/>
    <w:rsid w:val="4B77B25B"/>
    <w:rsid w:val="4B7F6A90"/>
    <w:rsid w:val="4B8CA241"/>
    <w:rsid w:val="4B951146"/>
    <w:rsid w:val="4B9E9BB2"/>
    <w:rsid w:val="4BE571E9"/>
    <w:rsid w:val="4BEE0781"/>
    <w:rsid w:val="4BF105B4"/>
    <w:rsid w:val="4BF21A59"/>
    <w:rsid w:val="4BF90A90"/>
    <w:rsid w:val="4BFBEA43"/>
    <w:rsid w:val="4C312C63"/>
    <w:rsid w:val="4C48200C"/>
    <w:rsid w:val="4C5A6A8E"/>
    <w:rsid w:val="4C8BB177"/>
    <w:rsid w:val="4C9083E9"/>
    <w:rsid w:val="4CBC0253"/>
    <w:rsid w:val="4CD627B8"/>
    <w:rsid w:val="4CD95E7B"/>
    <w:rsid w:val="4CF05531"/>
    <w:rsid w:val="4D01ACE0"/>
    <w:rsid w:val="4D0EC27F"/>
    <w:rsid w:val="4D38FF9B"/>
    <w:rsid w:val="4D66112B"/>
    <w:rsid w:val="4D6721C5"/>
    <w:rsid w:val="4DAFD9F6"/>
    <w:rsid w:val="4DC4E4F7"/>
    <w:rsid w:val="4DD90624"/>
    <w:rsid w:val="4DFAE320"/>
    <w:rsid w:val="4E044C36"/>
    <w:rsid w:val="4E2141C4"/>
    <w:rsid w:val="4E2359DD"/>
    <w:rsid w:val="4E291A21"/>
    <w:rsid w:val="4E9B0C5D"/>
    <w:rsid w:val="4EE115DA"/>
    <w:rsid w:val="4EECEB5D"/>
    <w:rsid w:val="4EECEBA1"/>
    <w:rsid w:val="4EF4137C"/>
    <w:rsid w:val="4F21F846"/>
    <w:rsid w:val="4F451A05"/>
    <w:rsid w:val="4F46A49F"/>
    <w:rsid w:val="4F477001"/>
    <w:rsid w:val="4F49BDEC"/>
    <w:rsid w:val="4F4A78F1"/>
    <w:rsid w:val="4F5BCEF7"/>
    <w:rsid w:val="4F8595F5"/>
    <w:rsid w:val="4F94B286"/>
    <w:rsid w:val="4FA491A1"/>
    <w:rsid w:val="4FDBE7DE"/>
    <w:rsid w:val="4FF869FE"/>
    <w:rsid w:val="504D073E"/>
    <w:rsid w:val="5086616E"/>
    <w:rsid w:val="5088089D"/>
    <w:rsid w:val="50AAFCAD"/>
    <w:rsid w:val="50BBD3E2"/>
    <w:rsid w:val="50CB29E1"/>
    <w:rsid w:val="50DD8EF1"/>
    <w:rsid w:val="50DF13AF"/>
    <w:rsid w:val="50FB07FD"/>
    <w:rsid w:val="510D4EBD"/>
    <w:rsid w:val="511254A9"/>
    <w:rsid w:val="51214C86"/>
    <w:rsid w:val="5137D700"/>
    <w:rsid w:val="51384F45"/>
    <w:rsid w:val="514ADEE6"/>
    <w:rsid w:val="515679B6"/>
    <w:rsid w:val="5160ABAD"/>
    <w:rsid w:val="51616D5F"/>
    <w:rsid w:val="5183A618"/>
    <w:rsid w:val="51929716"/>
    <w:rsid w:val="51AFC66D"/>
    <w:rsid w:val="51C13DBC"/>
    <w:rsid w:val="51E7533C"/>
    <w:rsid w:val="520137FB"/>
    <w:rsid w:val="521DC2D0"/>
    <w:rsid w:val="52360CD5"/>
    <w:rsid w:val="52441F85"/>
    <w:rsid w:val="527294F9"/>
    <w:rsid w:val="5275BB83"/>
    <w:rsid w:val="52B3439D"/>
    <w:rsid w:val="52BA7B66"/>
    <w:rsid w:val="52C2C80D"/>
    <w:rsid w:val="52C7442B"/>
    <w:rsid w:val="52FC7487"/>
    <w:rsid w:val="53083F2B"/>
    <w:rsid w:val="530F5B49"/>
    <w:rsid w:val="5313A9B0"/>
    <w:rsid w:val="5318AF98"/>
    <w:rsid w:val="531EB697"/>
    <w:rsid w:val="533A1620"/>
    <w:rsid w:val="536826B4"/>
    <w:rsid w:val="53684B16"/>
    <w:rsid w:val="53700EB5"/>
    <w:rsid w:val="538AB3B4"/>
    <w:rsid w:val="5393E5AB"/>
    <w:rsid w:val="53CA2807"/>
    <w:rsid w:val="53CABBEA"/>
    <w:rsid w:val="53D1F3EA"/>
    <w:rsid w:val="53D25DBA"/>
    <w:rsid w:val="53FD8643"/>
    <w:rsid w:val="53FE5B2A"/>
    <w:rsid w:val="5401C636"/>
    <w:rsid w:val="5405ABEC"/>
    <w:rsid w:val="540B1012"/>
    <w:rsid w:val="542B6BF4"/>
    <w:rsid w:val="543EAF0D"/>
    <w:rsid w:val="5470A262"/>
    <w:rsid w:val="548649ED"/>
    <w:rsid w:val="549295EC"/>
    <w:rsid w:val="5498025B"/>
    <w:rsid w:val="54A1F7B4"/>
    <w:rsid w:val="54B926D2"/>
    <w:rsid w:val="551E34B5"/>
    <w:rsid w:val="5525D061"/>
    <w:rsid w:val="553B4E6A"/>
    <w:rsid w:val="553F1372"/>
    <w:rsid w:val="55439CA8"/>
    <w:rsid w:val="5563B044"/>
    <w:rsid w:val="558B52E3"/>
    <w:rsid w:val="5592E40B"/>
    <w:rsid w:val="55943839"/>
    <w:rsid w:val="559BADC4"/>
    <w:rsid w:val="55AC67DD"/>
    <w:rsid w:val="55BEF889"/>
    <w:rsid w:val="55D3C0EE"/>
    <w:rsid w:val="55DBF2C9"/>
    <w:rsid w:val="55DDA048"/>
    <w:rsid w:val="55E32468"/>
    <w:rsid w:val="560BB165"/>
    <w:rsid w:val="561396C2"/>
    <w:rsid w:val="561587F6"/>
    <w:rsid w:val="56208B38"/>
    <w:rsid w:val="56306E0E"/>
    <w:rsid w:val="56483E8C"/>
    <w:rsid w:val="5670E453"/>
    <w:rsid w:val="56794078"/>
    <w:rsid w:val="568086D8"/>
    <w:rsid w:val="56CA7B0F"/>
    <w:rsid w:val="56E2C63C"/>
    <w:rsid w:val="57377246"/>
    <w:rsid w:val="574B47D7"/>
    <w:rsid w:val="574D5EE8"/>
    <w:rsid w:val="57732CD3"/>
    <w:rsid w:val="57938396"/>
    <w:rsid w:val="579BA303"/>
    <w:rsid w:val="57C512B6"/>
    <w:rsid w:val="580B2486"/>
    <w:rsid w:val="5812DBC0"/>
    <w:rsid w:val="5815D24C"/>
    <w:rsid w:val="58299F09"/>
    <w:rsid w:val="585D7CE1"/>
    <w:rsid w:val="58795087"/>
    <w:rsid w:val="587CF9B0"/>
    <w:rsid w:val="58B95845"/>
    <w:rsid w:val="58EAC457"/>
    <w:rsid w:val="59187AFE"/>
    <w:rsid w:val="5947EDD6"/>
    <w:rsid w:val="59590DD0"/>
    <w:rsid w:val="596C1837"/>
    <w:rsid w:val="59A5C299"/>
    <w:rsid w:val="59A6278F"/>
    <w:rsid w:val="59C463E1"/>
    <w:rsid w:val="59D3C6EC"/>
    <w:rsid w:val="59F485BF"/>
    <w:rsid w:val="59F8DB29"/>
    <w:rsid w:val="59FB2DC1"/>
    <w:rsid w:val="59FD87E0"/>
    <w:rsid w:val="5A0089FD"/>
    <w:rsid w:val="5A01652A"/>
    <w:rsid w:val="5A036AB8"/>
    <w:rsid w:val="5A082B52"/>
    <w:rsid w:val="5A27362D"/>
    <w:rsid w:val="5A2EF556"/>
    <w:rsid w:val="5A65029A"/>
    <w:rsid w:val="5A6A6B9D"/>
    <w:rsid w:val="5A6B199F"/>
    <w:rsid w:val="5A75380A"/>
    <w:rsid w:val="5A7CB941"/>
    <w:rsid w:val="5A82117A"/>
    <w:rsid w:val="5AAEB4D6"/>
    <w:rsid w:val="5AC6F0B8"/>
    <w:rsid w:val="5AE809DE"/>
    <w:rsid w:val="5AEEA6FB"/>
    <w:rsid w:val="5AF5304C"/>
    <w:rsid w:val="5AF7E1C8"/>
    <w:rsid w:val="5B85F9B3"/>
    <w:rsid w:val="5B9C97D3"/>
    <w:rsid w:val="5BA5732E"/>
    <w:rsid w:val="5BB58557"/>
    <w:rsid w:val="5BC87885"/>
    <w:rsid w:val="5BFE2802"/>
    <w:rsid w:val="5C0E4CBE"/>
    <w:rsid w:val="5C1F0465"/>
    <w:rsid w:val="5C35E3C5"/>
    <w:rsid w:val="5C371F5E"/>
    <w:rsid w:val="5C512BBE"/>
    <w:rsid w:val="5C67ADEC"/>
    <w:rsid w:val="5C69349B"/>
    <w:rsid w:val="5C852F5B"/>
    <w:rsid w:val="5C9C853F"/>
    <w:rsid w:val="5CA29285"/>
    <w:rsid w:val="5CB63F1C"/>
    <w:rsid w:val="5CC37218"/>
    <w:rsid w:val="5CCEEAFC"/>
    <w:rsid w:val="5D162D96"/>
    <w:rsid w:val="5D16B748"/>
    <w:rsid w:val="5D34ABA0"/>
    <w:rsid w:val="5D5E3E53"/>
    <w:rsid w:val="5D6BFC3D"/>
    <w:rsid w:val="5D7C2B17"/>
    <w:rsid w:val="5D8913FC"/>
    <w:rsid w:val="5D9CC147"/>
    <w:rsid w:val="5DC64FAC"/>
    <w:rsid w:val="5DEC2F4B"/>
    <w:rsid w:val="5DFC5B3A"/>
    <w:rsid w:val="5E083674"/>
    <w:rsid w:val="5E0A5927"/>
    <w:rsid w:val="5E1AC70A"/>
    <w:rsid w:val="5E1ED2ED"/>
    <w:rsid w:val="5E46E30C"/>
    <w:rsid w:val="5E47E850"/>
    <w:rsid w:val="5E5121C9"/>
    <w:rsid w:val="5E7667F9"/>
    <w:rsid w:val="5E795622"/>
    <w:rsid w:val="5E932649"/>
    <w:rsid w:val="5EE27B4D"/>
    <w:rsid w:val="5F1DDD7F"/>
    <w:rsid w:val="5F21528F"/>
    <w:rsid w:val="5F21ED10"/>
    <w:rsid w:val="5F27833D"/>
    <w:rsid w:val="5F335908"/>
    <w:rsid w:val="5F49C5FB"/>
    <w:rsid w:val="5F4A5EA5"/>
    <w:rsid w:val="5F5AD866"/>
    <w:rsid w:val="5F76B058"/>
    <w:rsid w:val="5F7CD36A"/>
    <w:rsid w:val="5F87B701"/>
    <w:rsid w:val="5F902D6A"/>
    <w:rsid w:val="5F9F977C"/>
    <w:rsid w:val="5FC7F069"/>
    <w:rsid w:val="5FCB0CAA"/>
    <w:rsid w:val="5FF0ED09"/>
    <w:rsid w:val="5FF93F23"/>
    <w:rsid w:val="600E85F0"/>
    <w:rsid w:val="60262D14"/>
    <w:rsid w:val="6040264D"/>
    <w:rsid w:val="604445E4"/>
    <w:rsid w:val="60573162"/>
    <w:rsid w:val="605F6497"/>
    <w:rsid w:val="606C6E93"/>
    <w:rsid w:val="607219A7"/>
    <w:rsid w:val="60739276"/>
    <w:rsid w:val="607B70BB"/>
    <w:rsid w:val="609AC68F"/>
    <w:rsid w:val="60A85907"/>
    <w:rsid w:val="60A8B16C"/>
    <w:rsid w:val="60AB026E"/>
    <w:rsid w:val="60ACCABE"/>
    <w:rsid w:val="60B74C93"/>
    <w:rsid w:val="60BD8A5A"/>
    <w:rsid w:val="60C0F71D"/>
    <w:rsid w:val="60CD62AA"/>
    <w:rsid w:val="60DE1CAD"/>
    <w:rsid w:val="60DE65A7"/>
    <w:rsid w:val="60FB1D0F"/>
    <w:rsid w:val="6137476C"/>
    <w:rsid w:val="613B09BC"/>
    <w:rsid w:val="6158FADA"/>
    <w:rsid w:val="616A0325"/>
    <w:rsid w:val="6170C9E0"/>
    <w:rsid w:val="61886A87"/>
    <w:rsid w:val="61BF86D7"/>
    <w:rsid w:val="61DB1709"/>
    <w:rsid w:val="61DDB704"/>
    <w:rsid w:val="61DE3080"/>
    <w:rsid w:val="61FEB38F"/>
    <w:rsid w:val="620E6FE9"/>
    <w:rsid w:val="62301E94"/>
    <w:rsid w:val="6255B0EE"/>
    <w:rsid w:val="6258FAC2"/>
    <w:rsid w:val="625AE351"/>
    <w:rsid w:val="626B25BD"/>
    <w:rsid w:val="626B9DE3"/>
    <w:rsid w:val="6288394E"/>
    <w:rsid w:val="62971AEA"/>
    <w:rsid w:val="62AC821C"/>
    <w:rsid w:val="62CA2A56"/>
    <w:rsid w:val="62D0525C"/>
    <w:rsid w:val="62D7F919"/>
    <w:rsid w:val="62ED7080"/>
    <w:rsid w:val="62F587E0"/>
    <w:rsid w:val="62F63CF1"/>
    <w:rsid w:val="632A169A"/>
    <w:rsid w:val="6367B24B"/>
    <w:rsid w:val="6380650A"/>
    <w:rsid w:val="63962AD0"/>
    <w:rsid w:val="63AA0690"/>
    <w:rsid w:val="63E0ECAC"/>
    <w:rsid w:val="63E7F485"/>
    <w:rsid w:val="63EAFFB2"/>
    <w:rsid w:val="64117D16"/>
    <w:rsid w:val="641759D9"/>
    <w:rsid w:val="641D594D"/>
    <w:rsid w:val="64212D85"/>
    <w:rsid w:val="6430A355"/>
    <w:rsid w:val="6460C7D3"/>
    <w:rsid w:val="646D6CC8"/>
    <w:rsid w:val="646E1C31"/>
    <w:rsid w:val="647BED72"/>
    <w:rsid w:val="6496C2D4"/>
    <w:rsid w:val="64A8E68B"/>
    <w:rsid w:val="64BD5208"/>
    <w:rsid w:val="64C367C8"/>
    <w:rsid w:val="64C69E44"/>
    <w:rsid w:val="64DF46B1"/>
    <w:rsid w:val="64E8A609"/>
    <w:rsid w:val="650AB28D"/>
    <w:rsid w:val="651BABF1"/>
    <w:rsid w:val="6525B55B"/>
    <w:rsid w:val="655A1199"/>
    <w:rsid w:val="655E39F8"/>
    <w:rsid w:val="6569CEE2"/>
    <w:rsid w:val="65788FFD"/>
    <w:rsid w:val="657D52E9"/>
    <w:rsid w:val="657E1A53"/>
    <w:rsid w:val="658B2787"/>
    <w:rsid w:val="658DDDD0"/>
    <w:rsid w:val="6596D149"/>
    <w:rsid w:val="65C111D8"/>
    <w:rsid w:val="65CF6316"/>
    <w:rsid w:val="65D10F4B"/>
    <w:rsid w:val="665AF4A6"/>
    <w:rsid w:val="66684591"/>
    <w:rsid w:val="6669DA08"/>
    <w:rsid w:val="66719D8B"/>
    <w:rsid w:val="667E6A8C"/>
    <w:rsid w:val="66977DAE"/>
    <w:rsid w:val="669F7981"/>
    <w:rsid w:val="66B36CEB"/>
    <w:rsid w:val="66C7BC47"/>
    <w:rsid w:val="66E6348C"/>
    <w:rsid w:val="66F8AF40"/>
    <w:rsid w:val="6701C92B"/>
    <w:rsid w:val="671FDC13"/>
    <w:rsid w:val="674B76B4"/>
    <w:rsid w:val="675D5931"/>
    <w:rsid w:val="67632C81"/>
    <w:rsid w:val="677EF3BC"/>
    <w:rsid w:val="677F1B07"/>
    <w:rsid w:val="678EE8C5"/>
    <w:rsid w:val="67A83567"/>
    <w:rsid w:val="67BA4FBA"/>
    <w:rsid w:val="67C76FF8"/>
    <w:rsid w:val="67C9B44F"/>
    <w:rsid w:val="67E31473"/>
    <w:rsid w:val="67E43D88"/>
    <w:rsid w:val="67F44E98"/>
    <w:rsid w:val="67FFADD9"/>
    <w:rsid w:val="6828C711"/>
    <w:rsid w:val="6839BE1B"/>
    <w:rsid w:val="6849F5F8"/>
    <w:rsid w:val="685E4B69"/>
    <w:rsid w:val="68639C21"/>
    <w:rsid w:val="687235EC"/>
    <w:rsid w:val="688271AC"/>
    <w:rsid w:val="6882BF42"/>
    <w:rsid w:val="689DB9CC"/>
    <w:rsid w:val="68B8B485"/>
    <w:rsid w:val="68C4C8E1"/>
    <w:rsid w:val="68EC777A"/>
    <w:rsid w:val="68FABCD3"/>
    <w:rsid w:val="690499C0"/>
    <w:rsid w:val="6931E722"/>
    <w:rsid w:val="69374513"/>
    <w:rsid w:val="693DF747"/>
    <w:rsid w:val="69412609"/>
    <w:rsid w:val="696D2A79"/>
    <w:rsid w:val="69719455"/>
    <w:rsid w:val="697A588D"/>
    <w:rsid w:val="698DA7A0"/>
    <w:rsid w:val="6999C4CF"/>
    <w:rsid w:val="699DA364"/>
    <w:rsid w:val="69B2BD86"/>
    <w:rsid w:val="69BBC94F"/>
    <w:rsid w:val="69C33447"/>
    <w:rsid w:val="69E5DBC9"/>
    <w:rsid w:val="69E7A96F"/>
    <w:rsid w:val="69ED96B4"/>
    <w:rsid w:val="69F93F8F"/>
    <w:rsid w:val="6A000311"/>
    <w:rsid w:val="6A32AA3D"/>
    <w:rsid w:val="6A4D3348"/>
    <w:rsid w:val="6A58E98C"/>
    <w:rsid w:val="6A7508F8"/>
    <w:rsid w:val="6A79C7DB"/>
    <w:rsid w:val="6AA28692"/>
    <w:rsid w:val="6AA5B618"/>
    <w:rsid w:val="6AAAEF6F"/>
    <w:rsid w:val="6AC22092"/>
    <w:rsid w:val="6ACF54F4"/>
    <w:rsid w:val="6AF49541"/>
    <w:rsid w:val="6AFA9B24"/>
    <w:rsid w:val="6B1BC9B2"/>
    <w:rsid w:val="6B25F19F"/>
    <w:rsid w:val="6B2A62F1"/>
    <w:rsid w:val="6B3AC206"/>
    <w:rsid w:val="6B3BD99F"/>
    <w:rsid w:val="6B3FC4F3"/>
    <w:rsid w:val="6B40F5B9"/>
    <w:rsid w:val="6B43C374"/>
    <w:rsid w:val="6B5751E9"/>
    <w:rsid w:val="6B57A4B1"/>
    <w:rsid w:val="6B6250C7"/>
    <w:rsid w:val="6B65B994"/>
    <w:rsid w:val="6B6C908C"/>
    <w:rsid w:val="6B7578F9"/>
    <w:rsid w:val="6B773E75"/>
    <w:rsid w:val="6B93FF87"/>
    <w:rsid w:val="6B96745B"/>
    <w:rsid w:val="6BE159D0"/>
    <w:rsid w:val="6BE778AF"/>
    <w:rsid w:val="6BEF6425"/>
    <w:rsid w:val="6BFCC022"/>
    <w:rsid w:val="6C1EF8D0"/>
    <w:rsid w:val="6C60794D"/>
    <w:rsid w:val="6C775644"/>
    <w:rsid w:val="6C7E469C"/>
    <w:rsid w:val="6C8594D4"/>
    <w:rsid w:val="6C8F374C"/>
    <w:rsid w:val="6C93F52A"/>
    <w:rsid w:val="6CC1253B"/>
    <w:rsid w:val="6CC1DD22"/>
    <w:rsid w:val="6CCEABF6"/>
    <w:rsid w:val="6CD0E1FE"/>
    <w:rsid w:val="6CD135FF"/>
    <w:rsid w:val="6CD1A192"/>
    <w:rsid w:val="6CDAC1C0"/>
    <w:rsid w:val="6CDE6513"/>
    <w:rsid w:val="6CE4D067"/>
    <w:rsid w:val="6CED9ED4"/>
    <w:rsid w:val="6D060AA2"/>
    <w:rsid w:val="6D0A3159"/>
    <w:rsid w:val="6D0CBB2B"/>
    <w:rsid w:val="6D24E953"/>
    <w:rsid w:val="6D2C344D"/>
    <w:rsid w:val="6D2D4513"/>
    <w:rsid w:val="6D61B296"/>
    <w:rsid w:val="6D957D89"/>
    <w:rsid w:val="6DBBD725"/>
    <w:rsid w:val="6DBEB7A4"/>
    <w:rsid w:val="6DD15C07"/>
    <w:rsid w:val="6DE7968C"/>
    <w:rsid w:val="6DEE5F3E"/>
    <w:rsid w:val="6DF6ED23"/>
    <w:rsid w:val="6E098F6C"/>
    <w:rsid w:val="6E13F4DA"/>
    <w:rsid w:val="6E23B5C4"/>
    <w:rsid w:val="6E4ADE44"/>
    <w:rsid w:val="6E5089B5"/>
    <w:rsid w:val="6E63284B"/>
    <w:rsid w:val="6E65D529"/>
    <w:rsid w:val="6E817E18"/>
    <w:rsid w:val="6E8C9693"/>
    <w:rsid w:val="6E8F7130"/>
    <w:rsid w:val="6E94E7C3"/>
    <w:rsid w:val="6EB68F09"/>
    <w:rsid w:val="6EBD7226"/>
    <w:rsid w:val="6EC1CEDD"/>
    <w:rsid w:val="6ED5F081"/>
    <w:rsid w:val="6EF5CF8C"/>
    <w:rsid w:val="6F065F5A"/>
    <w:rsid w:val="6F14E7FD"/>
    <w:rsid w:val="6F1C4518"/>
    <w:rsid w:val="6F2EFC99"/>
    <w:rsid w:val="6F686FBF"/>
    <w:rsid w:val="6F6E3A88"/>
    <w:rsid w:val="6F6F6D19"/>
    <w:rsid w:val="6F8D3DEC"/>
    <w:rsid w:val="6FA9D34F"/>
    <w:rsid w:val="6FB7E915"/>
    <w:rsid w:val="6FB7F884"/>
    <w:rsid w:val="6FD472C1"/>
    <w:rsid w:val="6FD54BCB"/>
    <w:rsid w:val="6FD7D427"/>
    <w:rsid w:val="6FE0994B"/>
    <w:rsid w:val="6FE5A12B"/>
    <w:rsid w:val="6FFF321B"/>
    <w:rsid w:val="7008F7FF"/>
    <w:rsid w:val="70097CF1"/>
    <w:rsid w:val="703253A0"/>
    <w:rsid w:val="70681F4F"/>
    <w:rsid w:val="70877840"/>
    <w:rsid w:val="708B5F80"/>
    <w:rsid w:val="709A2731"/>
    <w:rsid w:val="70A4EB4C"/>
    <w:rsid w:val="70D5E0A8"/>
    <w:rsid w:val="70D9C2AE"/>
    <w:rsid w:val="70DDDE53"/>
    <w:rsid w:val="70DFC994"/>
    <w:rsid w:val="70EE171D"/>
    <w:rsid w:val="70F72E1F"/>
    <w:rsid w:val="7107FC6C"/>
    <w:rsid w:val="710B0DB1"/>
    <w:rsid w:val="711D88E3"/>
    <w:rsid w:val="711F7D9A"/>
    <w:rsid w:val="712C2390"/>
    <w:rsid w:val="7135A9CB"/>
    <w:rsid w:val="713B2A78"/>
    <w:rsid w:val="71423F03"/>
    <w:rsid w:val="716F7DA9"/>
    <w:rsid w:val="71804D00"/>
    <w:rsid w:val="7185471E"/>
    <w:rsid w:val="7192A344"/>
    <w:rsid w:val="71A5B375"/>
    <w:rsid w:val="71ADAD34"/>
    <w:rsid w:val="71B3164B"/>
    <w:rsid w:val="71D14539"/>
    <w:rsid w:val="72036F9D"/>
    <w:rsid w:val="721193BC"/>
    <w:rsid w:val="723402FC"/>
    <w:rsid w:val="723EB93A"/>
    <w:rsid w:val="724F1E50"/>
    <w:rsid w:val="728B2203"/>
    <w:rsid w:val="7294120A"/>
    <w:rsid w:val="729526F0"/>
    <w:rsid w:val="729CB6B8"/>
    <w:rsid w:val="72ABED65"/>
    <w:rsid w:val="72B8057F"/>
    <w:rsid w:val="72EA666E"/>
    <w:rsid w:val="72F6381B"/>
    <w:rsid w:val="72F8740D"/>
    <w:rsid w:val="731F7C0D"/>
    <w:rsid w:val="732498D0"/>
    <w:rsid w:val="73281CAD"/>
    <w:rsid w:val="7359C08E"/>
    <w:rsid w:val="736F6423"/>
    <w:rsid w:val="73B76156"/>
    <w:rsid w:val="73BE4D0F"/>
    <w:rsid w:val="73E10A79"/>
    <w:rsid w:val="73F7690D"/>
    <w:rsid w:val="740A3370"/>
    <w:rsid w:val="742641F0"/>
    <w:rsid w:val="743454DC"/>
    <w:rsid w:val="74393B40"/>
    <w:rsid w:val="7442AC48"/>
    <w:rsid w:val="745081DA"/>
    <w:rsid w:val="745254F1"/>
    <w:rsid w:val="7476E62C"/>
    <w:rsid w:val="747BE8E7"/>
    <w:rsid w:val="74874870"/>
    <w:rsid w:val="748A0E7F"/>
    <w:rsid w:val="748AD5AA"/>
    <w:rsid w:val="749B1BD9"/>
    <w:rsid w:val="74AE76F9"/>
    <w:rsid w:val="74B33D86"/>
    <w:rsid w:val="74C4CA9F"/>
    <w:rsid w:val="74F09FDD"/>
    <w:rsid w:val="750FA3D6"/>
    <w:rsid w:val="75231F53"/>
    <w:rsid w:val="752D00B0"/>
    <w:rsid w:val="7576F032"/>
    <w:rsid w:val="75AA228D"/>
    <w:rsid w:val="75C573AF"/>
    <w:rsid w:val="75D2FF74"/>
    <w:rsid w:val="75E2FB2F"/>
    <w:rsid w:val="75F9BD70"/>
    <w:rsid w:val="75FA8428"/>
    <w:rsid w:val="760A4BD6"/>
    <w:rsid w:val="76149E7D"/>
    <w:rsid w:val="761932B7"/>
    <w:rsid w:val="761E6530"/>
    <w:rsid w:val="762CE400"/>
    <w:rsid w:val="7632AA92"/>
    <w:rsid w:val="76334AD3"/>
    <w:rsid w:val="7655FCC1"/>
    <w:rsid w:val="765B3DF9"/>
    <w:rsid w:val="76B39BD3"/>
    <w:rsid w:val="76B588DE"/>
    <w:rsid w:val="76CF639E"/>
    <w:rsid w:val="76D037DC"/>
    <w:rsid w:val="76D1440B"/>
    <w:rsid w:val="76DD45DF"/>
    <w:rsid w:val="76EB456B"/>
    <w:rsid w:val="7705BE10"/>
    <w:rsid w:val="7727A0CA"/>
    <w:rsid w:val="77382524"/>
    <w:rsid w:val="7751D7CE"/>
    <w:rsid w:val="776A75F7"/>
    <w:rsid w:val="777B7C10"/>
    <w:rsid w:val="779855D2"/>
    <w:rsid w:val="77DF6E52"/>
    <w:rsid w:val="77FEC8B2"/>
    <w:rsid w:val="78128DA4"/>
    <w:rsid w:val="781B5DA0"/>
    <w:rsid w:val="7839E5A3"/>
    <w:rsid w:val="7848F06B"/>
    <w:rsid w:val="78762683"/>
    <w:rsid w:val="7882FDD0"/>
    <w:rsid w:val="789780EF"/>
    <w:rsid w:val="78A3EBB2"/>
    <w:rsid w:val="78AE26EA"/>
    <w:rsid w:val="78B16809"/>
    <w:rsid w:val="78B8DE04"/>
    <w:rsid w:val="78C2D869"/>
    <w:rsid w:val="78C779AA"/>
    <w:rsid w:val="78DB8409"/>
    <w:rsid w:val="78DE53E1"/>
    <w:rsid w:val="7909139B"/>
    <w:rsid w:val="7913386C"/>
    <w:rsid w:val="791342D9"/>
    <w:rsid w:val="7931F800"/>
    <w:rsid w:val="79476653"/>
    <w:rsid w:val="795C667F"/>
    <w:rsid w:val="795CA835"/>
    <w:rsid w:val="796720B2"/>
    <w:rsid w:val="7A23E393"/>
    <w:rsid w:val="7A592F92"/>
    <w:rsid w:val="7A59E693"/>
    <w:rsid w:val="7A7E55A2"/>
    <w:rsid w:val="7A84664F"/>
    <w:rsid w:val="7A8AD65D"/>
    <w:rsid w:val="7A90C45C"/>
    <w:rsid w:val="7AA2C1BE"/>
    <w:rsid w:val="7AA4AC2F"/>
    <w:rsid w:val="7ABFC4AE"/>
    <w:rsid w:val="7AC3C92D"/>
    <w:rsid w:val="7AC96DAB"/>
    <w:rsid w:val="7ACB97A5"/>
    <w:rsid w:val="7ADDBECB"/>
    <w:rsid w:val="7AE0BEB4"/>
    <w:rsid w:val="7B268188"/>
    <w:rsid w:val="7B292890"/>
    <w:rsid w:val="7B2DC11A"/>
    <w:rsid w:val="7B3178FF"/>
    <w:rsid w:val="7B4BF4F8"/>
    <w:rsid w:val="7B4CEB53"/>
    <w:rsid w:val="7B607D27"/>
    <w:rsid w:val="7B6F41F5"/>
    <w:rsid w:val="7B72C414"/>
    <w:rsid w:val="7B75DB73"/>
    <w:rsid w:val="7B911934"/>
    <w:rsid w:val="7BA1BA1D"/>
    <w:rsid w:val="7BC10D6F"/>
    <w:rsid w:val="7BD79230"/>
    <w:rsid w:val="7C13749C"/>
    <w:rsid w:val="7C252AEB"/>
    <w:rsid w:val="7C2723E5"/>
    <w:rsid w:val="7C357FDB"/>
    <w:rsid w:val="7C358361"/>
    <w:rsid w:val="7C4392C7"/>
    <w:rsid w:val="7C494E89"/>
    <w:rsid w:val="7C4DBBF9"/>
    <w:rsid w:val="7C5AA0C9"/>
    <w:rsid w:val="7C6920FB"/>
    <w:rsid w:val="7C80881E"/>
    <w:rsid w:val="7CB185B3"/>
    <w:rsid w:val="7CB8CC04"/>
    <w:rsid w:val="7CBF956F"/>
    <w:rsid w:val="7CCCEF28"/>
    <w:rsid w:val="7CE43CE5"/>
    <w:rsid w:val="7D13E94F"/>
    <w:rsid w:val="7D16CBD7"/>
    <w:rsid w:val="7D26ADD1"/>
    <w:rsid w:val="7D29680E"/>
    <w:rsid w:val="7D4AEFA7"/>
    <w:rsid w:val="7D5AFB97"/>
    <w:rsid w:val="7D681553"/>
    <w:rsid w:val="7D715889"/>
    <w:rsid w:val="7D77351A"/>
    <w:rsid w:val="7D890E1F"/>
    <w:rsid w:val="7DBFB955"/>
    <w:rsid w:val="7DCFCC6F"/>
    <w:rsid w:val="7DE37212"/>
    <w:rsid w:val="7DE3CC06"/>
    <w:rsid w:val="7DEB8B71"/>
    <w:rsid w:val="7E07C010"/>
    <w:rsid w:val="7E11742A"/>
    <w:rsid w:val="7E24AAB3"/>
    <w:rsid w:val="7E5677DB"/>
    <w:rsid w:val="7E6E8A91"/>
    <w:rsid w:val="7E711A77"/>
    <w:rsid w:val="7E99CACB"/>
    <w:rsid w:val="7EAA183C"/>
    <w:rsid w:val="7ED3F169"/>
    <w:rsid w:val="7EDA5743"/>
    <w:rsid w:val="7EF14B37"/>
    <w:rsid w:val="7F0DAE86"/>
    <w:rsid w:val="7F0EB3C6"/>
    <w:rsid w:val="7F1AD57D"/>
    <w:rsid w:val="7F3CD949"/>
    <w:rsid w:val="7F829D2E"/>
    <w:rsid w:val="7F8FD481"/>
    <w:rsid w:val="7F91D383"/>
    <w:rsid w:val="7F946B83"/>
    <w:rsid w:val="7FA43AAD"/>
    <w:rsid w:val="7FB43C5D"/>
    <w:rsid w:val="7FDA7D1A"/>
    <w:rsid w:val="7FDF5EBD"/>
    <w:rsid w:val="7FE86EAC"/>
    <w:rsid w:val="7FF7272F"/>
    <w:rsid w:val="7FF797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B96676E"/>
  <w15:docId w15:val="{73E3D9B5-0257-4972-B172-88380906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2"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L,2,3"/>
    <w:basedOn w:val="Normal"/>
    <w:link w:val="ListParagraphChar"/>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FootnoteReference">
    <w:name w:val="footnote reference"/>
    <w:aliases w:val="Footnote Refernece,BVI fnr,callout,16 Point,Superscript 6 Point,Odwołanie przypisu,Footnote symbol,Footnote Reference Number,Footnote Reference Superscript,SUPERS,Times 10 Point,Exposant 3 Point,Ref,de nota al pie,number,FR,note TESI"/>
    <w:basedOn w:val="DefaultParagraphFont"/>
    <w:link w:val="FootnotesymbolCarZchn"/>
    <w:uiPriority w:val="99"/>
    <w:unhideWhenUsed/>
    <w:qFormat/>
    <w:rPr>
      <w:vertAlign w:val="superscript"/>
    </w:rPr>
  </w:style>
  <w:style w:type="character" w:customStyle="1" w:styleId="FootnoteTextChar">
    <w:name w:val="Footnote Text Char"/>
    <w:aliases w:val="M Footnotes Char,Fußnotentextf Char,Fußnotentextr Char,stile 1 Char,Footnote Char,Footnote1 Char,Footnote2 Char,Footnote3 Char,Footnote4 Char,Footnote5 Char,Footnote6 Char,Footnote7 Char,Footnote8 Char,Footnote9 Char,Footnote10 Char"/>
    <w:basedOn w:val="DefaultParagraphFont"/>
    <w:link w:val="FootnoteText"/>
    <w:uiPriority w:val="99"/>
    <w:rPr>
      <w:sz w:val="20"/>
      <w:szCs w:val="20"/>
    </w:rPr>
  </w:style>
  <w:style w:type="paragraph" w:styleId="FootnoteText">
    <w:name w:val="footnote text"/>
    <w:aliases w:val="M Footnotes,Fußnotentextf,Fußnotentextr,stile 1,Footnote,Footnote1,Footnote2,Footnote3,Footnote4,Footnote5,Footnote6,Footnote7,Footnote8,Footnote9,Footnote10,Footnote11,Footnote21,Footnote31,Footnote41,Footnote51,Footnote61,f,Fußnote,Char"/>
    <w:basedOn w:val="Normal"/>
    <w:link w:val="FootnoteTextChar"/>
    <w:uiPriority w:val="99"/>
    <w:unhideWhenUsed/>
    <w:qFormat/>
    <w:pPr>
      <w:spacing w:after="0" w:line="240" w:lineRule="auto"/>
    </w:pPr>
    <w:rPr>
      <w:sz w:val="20"/>
      <w:szCs w:val="20"/>
    </w:rPr>
  </w:style>
  <w:style w:type="table" w:styleId="TableGrid">
    <w:name w:val="Table Grid"/>
    <w:basedOn w:val="TableNormal"/>
    <w:uiPriority w:val="39"/>
    <w:pPr>
      <w:spacing w:after="0" w:line="240" w:lineRule="auto"/>
    </w:pPr>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ListParagraph"/>
    <w:uiPriority w:val="34"/>
    <w:qFormat/>
    <w:locked/>
  </w:style>
  <w:style w:type="paragraph" w:styleId="Revision">
    <w:name w:val="Revision"/>
    <w:hidden/>
    <w:uiPriority w:val="99"/>
    <w:semiHidden/>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TOCHeading">
    <w:name w:val="TOC Heading"/>
    <w:basedOn w:val="Heading1"/>
    <w:next w:val="Normal"/>
    <w:uiPriority w:val="39"/>
    <w:unhideWhenUsed/>
    <w:qFormat/>
    <w:pPr>
      <w:outlineLvl w:val="9"/>
    </w:p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ind w:left="440"/>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line="240" w:lineRule="exact"/>
      <w:jc w:val="both"/>
    </w:pPr>
    <w:rPr>
      <w:vertAlign w:val="superscript"/>
    </w:rPr>
  </w:style>
  <w:style w:type="paragraph" w:customStyle="1" w:styleId="Briefinglist1">
    <w:name w:val="Briefing list 1"/>
    <w:basedOn w:val="Normal"/>
    <w:pPr>
      <w:keepLines/>
      <w:tabs>
        <w:tab w:val="num" w:pos="284"/>
      </w:tabs>
      <w:spacing w:after="120" w:line="240" w:lineRule="auto"/>
      <w:ind w:left="284" w:hanging="284"/>
      <w:jc w:val="both"/>
    </w:pPr>
    <w:rPr>
      <w:rFonts w:ascii="Arial" w:eastAsia="Times New Roman" w:hAnsi="Arial" w:cs="Arial"/>
      <w:szCs w:val="24"/>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Copies">
    <w:name w:val="Copies"/>
    <w:basedOn w:val="Normal"/>
    <w:uiPriority w:val="2"/>
    <w:pPr>
      <w:tabs>
        <w:tab w:val="left" w:pos="5669"/>
      </w:tabs>
      <w:spacing w:before="480" w:after="0" w:line="240" w:lineRule="auto"/>
      <w:ind w:left="1984" w:hanging="1984"/>
      <w:contextualSpacing/>
    </w:pPr>
    <w:rPr>
      <w:rFonts w:ascii="Times New Roman" w:eastAsia="Times New Roman" w:hAnsi="Times New Roman" w:cs="Times New Roman"/>
      <w:sz w:val="24"/>
      <w:szCs w:val="20"/>
      <w:lang w:eastAsia="en-GB"/>
    </w:rPr>
  </w:style>
  <w:style w:type="paragraph" w:styleId="Signature">
    <w:name w:val="Signature"/>
    <w:basedOn w:val="Normal"/>
    <w:next w:val="Normal"/>
    <w:link w:val="SignatureChar"/>
    <w:uiPriority w:val="2"/>
    <w:pPr>
      <w:tabs>
        <w:tab w:val="left" w:pos="5102"/>
      </w:tabs>
      <w:spacing w:before="1200" w:after="0" w:line="240" w:lineRule="auto"/>
      <w:ind w:left="5102"/>
      <w:jc w:val="center"/>
    </w:pPr>
    <w:rPr>
      <w:rFonts w:ascii="Times New Roman" w:eastAsia="Times New Roman" w:hAnsi="Times New Roman" w:cs="Times New Roman"/>
      <w:sz w:val="24"/>
      <w:szCs w:val="20"/>
      <w:lang w:eastAsia="en-GB"/>
    </w:rPr>
  </w:style>
  <w:style w:type="character" w:customStyle="1" w:styleId="SignatureChar">
    <w:name w:val="Signature Char"/>
    <w:basedOn w:val="DefaultParagraphFont"/>
    <w:link w:val="Signature"/>
    <w:uiPriority w:val="2"/>
    <w:rPr>
      <w:rFonts w:ascii="Times New Roman" w:eastAsia="Times New Roman" w:hAnsi="Times New Roman" w:cs="Times New Roman"/>
      <w:sz w:val="24"/>
      <w:szCs w:val="20"/>
      <w:lang w:val="en-GB" w:eastAsia="en-GB"/>
    </w:rPr>
  </w:style>
  <w:style w:type="paragraph" w:customStyle="1" w:styleId="Subject">
    <w:name w:val="Subject"/>
    <w:basedOn w:val="Normal"/>
    <w:uiPriority w:val="2"/>
    <w:pPr>
      <w:spacing w:after="480" w:line="240" w:lineRule="auto"/>
      <w:ind w:left="1531" w:hanging="1531"/>
      <w:contextualSpacing/>
    </w:pPr>
    <w:rPr>
      <w:rFonts w:ascii="Times New Roman" w:eastAsia="Times New Roman" w:hAnsi="Times New Roman" w:cs="Times New Roman"/>
      <w:b/>
      <w:sz w:val="24"/>
      <w:szCs w:val="20"/>
      <w:lang w:eastAsia="en-GB"/>
    </w:rPr>
  </w:style>
  <w:style w:type="paragraph" w:customStyle="1" w:styleId="NoteHead">
    <w:name w:val="NoteHead"/>
    <w:basedOn w:val="Normal"/>
    <w:uiPriority w:val="2"/>
    <w:pPr>
      <w:spacing w:before="720" w:after="720" w:line="240" w:lineRule="auto"/>
      <w:contextualSpacing/>
      <w:jc w:val="center"/>
    </w:pPr>
    <w:rPr>
      <w:rFonts w:ascii="Times New Roman" w:eastAsia="Times New Roman" w:hAnsi="Times New Roman" w:cs="Times New Roman"/>
      <w:b/>
      <w:smallCaps/>
      <w:sz w:val="24"/>
      <w:szCs w:val="20"/>
      <w:lang w:eastAsia="en-GB"/>
    </w:rPr>
  </w:style>
  <w:style w:type="paragraph" w:customStyle="1" w:styleId="References">
    <w:name w:val="References"/>
    <w:basedOn w:val="Normal"/>
    <w:uiPriority w:val="1"/>
    <w:pPr>
      <w:spacing w:after="240" w:line="240" w:lineRule="auto"/>
      <w:ind w:left="5102" w:right="-567"/>
      <w:contextualSpacing/>
    </w:pPr>
    <w:rPr>
      <w:rFonts w:ascii="Times New Roman" w:eastAsia="Times New Roman" w:hAnsi="Times New Roman" w:cs="Times New Roman"/>
      <w:sz w:val="20"/>
      <w:szCs w:val="20"/>
      <w:lang w:eastAsia="en-GB"/>
    </w:rPr>
  </w:style>
  <w:style w:type="paragraph" w:styleId="Date">
    <w:name w:val="Date"/>
    <w:basedOn w:val="Normal"/>
    <w:next w:val="References"/>
    <w:link w:val="DateChar"/>
    <w:uiPriority w:val="1"/>
    <w:pPr>
      <w:spacing w:after="0" w:line="240" w:lineRule="auto"/>
      <w:ind w:left="5102" w:right="-567"/>
    </w:pPr>
    <w:rPr>
      <w:rFonts w:ascii="Times New Roman" w:eastAsia="Times New Roman" w:hAnsi="Times New Roman" w:cs="Times New Roman"/>
      <w:sz w:val="24"/>
      <w:szCs w:val="20"/>
      <w:lang w:eastAsia="en-GB"/>
    </w:rPr>
  </w:style>
  <w:style w:type="character" w:customStyle="1" w:styleId="DateChar">
    <w:name w:val="Date Char"/>
    <w:basedOn w:val="DefaultParagraphFont"/>
    <w:link w:val="Date"/>
    <w:uiPriority w:val="1"/>
    <w:rPr>
      <w:rFonts w:ascii="Times New Roman" w:eastAsia="Times New Roman" w:hAnsi="Times New Roman" w:cs="Times New Roman"/>
      <w:sz w:val="24"/>
      <w:szCs w:val="20"/>
      <w:lang w:val="en-GB" w:eastAsia="en-GB"/>
    </w:rPr>
  </w:style>
  <w:style w:type="paragraph" w:customStyle="1" w:styleId="ZDGName">
    <w:name w:val="Z_DGName"/>
    <w:basedOn w:val="Normal"/>
    <w:uiPriority w:val="2"/>
    <w:pPr>
      <w:widowControl w:val="0"/>
      <w:spacing w:after="0" w:line="240" w:lineRule="auto"/>
      <w:ind w:right="85"/>
    </w:pPr>
    <w:rPr>
      <w:rFonts w:ascii="Times New Roman" w:eastAsia="Times New Roman" w:hAnsi="Times New Roman" w:cs="Times New Roman"/>
      <w:sz w:val="16"/>
      <w:szCs w:val="20"/>
      <w:lang w:eastAsia="en-GB"/>
    </w:rPr>
  </w:style>
  <w:style w:type="paragraph" w:customStyle="1" w:styleId="ZCom">
    <w:name w:val="Z_Com"/>
    <w:basedOn w:val="Normal"/>
    <w:next w:val="Normal"/>
    <w:uiPriority w:val="2"/>
    <w:pPr>
      <w:widowControl w:val="0"/>
      <w:spacing w:before="90" w:after="0" w:line="240" w:lineRule="auto"/>
      <w:ind w:right="85"/>
      <w:jc w:val="both"/>
    </w:pPr>
    <w:rPr>
      <w:rFonts w:ascii="Times New Roman" w:eastAsia="Times New Roman" w:hAnsi="Times New Roman" w:cs="Times New Roman"/>
      <w:sz w:val="24"/>
      <w:szCs w:val="20"/>
      <w:lang w:eastAsia="en-GB"/>
    </w:rPr>
  </w:style>
  <w:style w:type="paragraph" w:customStyle="1" w:styleId="ZFlag">
    <w:name w:val="Z_Flag"/>
    <w:basedOn w:val="Normal"/>
    <w:next w:val="Normal"/>
    <w:uiPriority w:val="2"/>
    <w:pPr>
      <w:widowControl w:val="0"/>
      <w:spacing w:after="0" w:line="240" w:lineRule="auto"/>
      <w:ind w:right="85"/>
      <w:jc w:val="both"/>
    </w:pPr>
    <w:rPr>
      <w:rFonts w:ascii="Times New Roman" w:eastAsia="Times New Roman" w:hAnsi="Times New Roman" w:cs="Times New Roman"/>
      <w:sz w:val="24"/>
      <w:szCs w:val="20"/>
      <w:lang w:eastAsia="en-GB"/>
    </w:rPr>
  </w:style>
  <w:style w:type="table" w:customStyle="1" w:styleId="TableLetterhead">
    <w:name w:val="Table Letterhead"/>
    <w:basedOn w:val="TableNormal"/>
    <w:semiHidden/>
    <w:pPr>
      <w:spacing w:after="0" w:line="240" w:lineRule="auto"/>
    </w:pPr>
    <w:rPr>
      <w:rFonts w:ascii="Times New Roman" w:eastAsia="Times New Roman" w:hAnsi="Times New Roman" w:cs="Times New Roman"/>
      <w:sz w:val="24"/>
      <w:szCs w:val="20"/>
      <w:lang w:val="en-GB" w:eastAsia="en-GB"/>
    </w:rPr>
    <w:tblPr/>
  </w:style>
  <w:style w:type="character" w:customStyle="1" w:styleId="BodyChar">
    <w:name w:val="Body Char"/>
    <w:link w:val="Body"/>
    <w:qFormat/>
    <w:locked/>
    <w:rPr>
      <w:rFonts w:ascii="Verdana" w:hAnsi="Verdana"/>
      <w:sz w:val="20"/>
    </w:rPr>
  </w:style>
  <w:style w:type="paragraph" w:customStyle="1" w:styleId="Body">
    <w:name w:val="Body"/>
    <w:basedOn w:val="Normal"/>
    <w:link w:val="BodyChar"/>
    <w:qFormat/>
    <w:pPr>
      <w:spacing w:after="240" w:line="240" w:lineRule="auto"/>
      <w:jc w:val="both"/>
    </w:pPr>
    <w:rPr>
      <w:rFonts w:ascii="Verdana" w:hAnsi="Verdana"/>
      <w:sz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lang w:val="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lang w:val="en-GB"/>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lang w:val="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lang w:val="en-GB"/>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lang w:val="en-GB"/>
    </w:rPr>
  </w:style>
  <w:style w:type="character" w:customStyle="1" w:styleId="superscript">
    <w:name w:val="superscript"/>
    <w:basedOn w:val="DefaultParagraphFont"/>
  </w:style>
  <w:style w:type="paragraph" w:customStyle="1" w:styleId="CharCharChar">
    <w:name w:val="Char Char Char"/>
    <w:basedOn w:val="Normal"/>
    <w:uiPriority w:val="99"/>
    <w:pPr>
      <w:spacing w:line="240" w:lineRule="exact"/>
      <w:ind w:left="357" w:hanging="357"/>
      <w:jc w:val="both"/>
    </w:pPr>
    <w:rPr>
      <w:vertAlign w:val="superscript"/>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val="fr-BE" w:eastAsia="fr-BE"/>
    </w:rPr>
  </w:style>
  <w:style w:type="character" w:customStyle="1" w:styleId="UnresolvedMention1">
    <w:name w:val="Unresolved Mention1"/>
    <w:basedOn w:val="DefaultParagraphFont"/>
    <w:uiPriority w:val="99"/>
    <w:semiHidden/>
    <w:unhideWhenUsed/>
    <w:rsid w:val="00BB0133"/>
    <w:rPr>
      <w:color w:val="605E5C"/>
      <w:shd w:val="clear" w:color="auto" w:fill="E1DFDD"/>
    </w:rPr>
  </w:style>
  <w:style w:type="paragraph" w:customStyle="1" w:styleId="Languesfaisantfoi">
    <w:name w:val="Langues faisant foi"/>
    <w:basedOn w:val="Normal"/>
    <w:next w:val="Normal"/>
    <w:rsid w:val="00981B08"/>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981B08"/>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981B08"/>
    <w:pPr>
      <w:spacing w:after="0"/>
    </w:pPr>
  </w:style>
  <w:style w:type="paragraph" w:customStyle="1" w:styleId="IntrtEEEPagedecouverture">
    <w:name w:val="Intérêt EEE (Page de couverture)"/>
    <w:basedOn w:val="IntrtEEE"/>
    <w:next w:val="Normal"/>
    <w:rsid w:val="00981B08"/>
  </w:style>
  <w:style w:type="character" w:customStyle="1" w:styleId="Mention1">
    <w:name w:val="Mention1"/>
    <w:basedOn w:val="DefaultParagraphFont"/>
    <w:uiPriority w:val="99"/>
    <w:unhideWhenUsed/>
    <w:rsid w:val="007017E1"/>
    <w:rPr>
      <w:color w:val="2B579A"/>
      <w:shd w:val="clear" w:color="auto" w:fill="E1DFDD"/>
    </w:rPr>
  </w:style>
  <w:style w:type="paragraph" w:styleId="Caption">
    <w:name w:val="caption"/>
    <w:basedOn w:val="Normal"/>
    <w:next w:val="Normal"/>
    <w:uiPriority w:val="35"/>
    <w:unhideWhenUsed/>
    <w:qFormat/>
    <w:rsid w:val="00CC4EA9"/>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6679">
      <w:bodyDiv w:val="1"/>
      <w:marLeft w:val="0"/>
      <w:marRight w:val="0"/>
      <w:marTop w:val="0"/>
      <w:marBottom w:val="0"/>
      <w:divBdr>
        <w:top w:val="none" w:sz="0" w:space="0" w:color="auto"/>
        <w:left w:val="none" w:sz="0" w:space="0" w:color="auto"/>
        <w:bottom w:val="none" w:sz="0" w:space="0" w:color="auto"/>
        <w:right w:val="none" w:sz="0" w:space="0" w:color="auto"/>
      </w:divBdr>
    </w:div>
    <w:div w:id="33190656">
      <w:bodyDiv w:val="1"/>
      <w:marLeft w:val="0"/>
      <w:marRight w:val="0"/>
      <w:marTop w:val="0"/>
      <w:marBottom w:val="0"/>
      <w:divBdr>
        <w:top w:val="none" w:sz="0" w:space="0" w:color="auto"/>
        <w:left w:val="none" w:sz="0" w:space="0" w:color="auto"/>
        <w:bottom w:val="none" w:sz="0" w:space="0" w:color="auto"/>
        <w:right w:val="none" w:sz="0" w:space="0" w:color="auto"/>
      </w:divBdr>
    </w:div>
    <w:div w:id="159927731">
      <w:bodyDiv w:val="1"/>
      <w:marLeft w:val="0"/>
      <w:marRight w:val="0"/>
      <w:marTop w:val="0"/>
      <w:marBottom w:val="0"/>
      <w:divBdr>
        <w:top w:val="none" w:sz="0" w:space="0" w:color="auto"/>
        <w:left w:val="none" w:sz="0" w:space="0" w:color="auto"/>
        <w:bottom w:val="none" w:sz="0" w:space="0" w:color="auto"/>
        <w:right w:val="none" w:sz="0" w:space="0" w:color="auto"/>
      </w:divBdr>
    </w:div>
    <w:div w:id="190412517">
      <w:bodyDiv w:val="1"/>
      <w:marLeft w:val="0"/>
      <w:marRight w:val="0"/>
      <w:marTop w:val="0"/>
      <w:marBottom w:val="0"/>
      <w:divBdr>
        <w:top w:val="none" w:sz="0" w:space="0" w:color="auto"/>
        <w:left w:val="none" w:sz="0" w:space="0" w:color="auto"/>
        <w:bottom w:val="none" w:sz="0" w:space="0" w:color="auto"/>
        <w:right w:val="none" w:sz="0" w:space="0" w:color="auto"/>
      </w:divBdr>
      <w:divsChild>
        <w:div w:id="1216354850">
          <w:marLeft w:val="0"/>
          <w:marRight w:val="0"/>
          <w:marTop w:val="0"/>
          <w:marBottom w:val="0"/>
          <w:divBdr>
            <w:top w:val="none" w:sz="0" w:space="0" w:color="auto"/>
            <w:left w:val="none" w:sz="0" w:space="0" w:color="auto"/>
            <w:bottom w:val="none" w:sz="0" w:space="0" w:color="auto"/>
            <w:right w:val="none" w:sz="0" w:space="0" w:color="auto"/>
          </w:divBdr>
        </w:div>
        <w:div w:id="1567761049">
          <w:marLeft w:val="0"/>
          <w:marRight w:val="0"/>
          <w:marTop w:val="0"/>
          <w:marBottom w:val="0"/>
          <w:divBdr>
            <w:top w:val="none" w:sz="0" w:space="0" w:color="auto"/>
            <w:left w:val="none" w:sz="0" w:space="0" w:color="auto"/>
            <w:bottom w:val="none" w:sz="0" w:space="0" w:color="auto"/>
            <w:right w:val="none" w:sz="0" w:space="0" w:color="auto"/>
          </w:divBdr>
        </w:div>
      </w:divsChild>
    </w:div>
    <w:div w:id="228540808">
      <w:bodyDiv w:val="1"/>
      <w:marLeft w:val="0"/>
      <w:marRight w:val="0"/>
      <w:marTop w:val="0"/>
      <w:marBottom w:val="0"/>
      <w:divBdr>
        <w:top w:val="none" w:sz="0" w:space="0" w:color="auto"/>
        <w:left w:val="none" w:sz="0" w:space="0" w:color="auto"/>
        <w:bottom w:val="none" w:sz="0" w:space="0" w:color="auto"/>
        <w:right w:val="none" w:sz="0" w:space="0" w:color="auto"/>
      </w:divBdr>
    </w:div>
    <w:div w:id="228662672">
      <w:bodyDiv w:val="1"/>
      <w:marLeft w:val="0"/>
      <w:marRight w:val="0"/>
      <w:marTop w:val="0"/>
      <w:marBottom w:val="0"/>
      <w:divBdr>
        <w:top w:val="none" w:sz="0" w:space="0" w:color="auto"/>
        <w:left w:val="none" w:sz="0" w:space="0" w:color="auto"/>
        <w:bottom w:val="none" w:sz="0" w:space="0" w:color="auto"/>
        <w:right w:val="none" w:sz="0" w:space="0" w:color="auto"/>
      </w:divBdr>
    </w:div>
    <w:div w:id="253638383">
      <w:bodyDiv w:val="1"/>
      <w:marLeft w:val="0"/>
      <w:marRight w:val="0"/>
      <w:marTop w:val="0"/>
      <w:marBottom w:val="0"/>
      <w:divBdr>
        <w:top w:val="none" w:sz="0" w:space="0" w:color="auto"/>
        <w:left w:val="none" w:sz="0" w:space="0" w:color="auto"/>
        <w:bottom w:val="none" w:sz="0" w:space="0" w:color="auto"/>
        <w:right w:val="none" w:sz="0" w:space="0" w:color="auto"/>
      </w:divBdr>
    </w:div>
    <w:div w:id="274021688">
      <w:bodyDiv w:val="1"/>
      <w:marLeft w:val="0"/>
      <w:marRight w:val="0"/>
      <w:marTop w:val="0"/>
      <w:marBottom w:val="0"/>
      <w:divBdr>
        <w:top w:val="none" w:sz="0" w:space="0" w:color="auto"/>
        <w:left w:val="none" w:sz="0" w:space="0" w:color="auto"/>
        <w:bottom w:val="none" w:sz="0" w:space="0" w:color="auto"/>
        <w:right w:val="none" w:sz="0" w:space="0" w:color="auto"/>
      </w:divBdr>
      <w:divsChild>
        <w:div w:id="1212573909">
          <w:marLeft w:val="0"/>
          <w:marRight w:val="0"/>
          <w:marTop w:val="0"/>
          <w:marBottom w:val="0"/>
          <w:divBdr>
            <w:top w:val="none" w:sz="0" w:space="0" w:color="auto"/>
            <w:left w:val="none" w:sz="0" w:space="0" w:color="auto"/>
            <w:bottom w:val="none" w:sz="0" w:space="0" w:color="auto"/>
            <w:right w:val="none" w:sz="0" w:space="0" w:color="auto"/>
          </w:divBdr>
        </w:div>
        <w:div w:id="1365135613">
          <w:marLeft w:val="0"/>
          <w:marRight w:val="0"/>
          <w:marTop w:val="0"/>
          <w:marBottom w:val="0"/>
          <w:divBdr>
            <w:top w:val="none" w:sz="0" w:space="0" w:color="auto"/>
            <w:left w:val="none" w:sz="0" w:space="0" w:color="auto"/>
            <w:bottom w:val="none" w:sz="0" w:space="0" w:color="auto"/>
            <w:right w:val="none" w:sz="0" w:space="0" w:color="auto"/>
          </w:divBdr>
        </w:div>
      </w:divsChild>
    </w:div>
    <w:div w:id="285236429">
      <w:bodyDiv w:val="1"/>
      <w:marLeft w:val="0"/>
      <w:marRight w:val="0"/>
      <w:marTop w:val="0"/>
      <w:marBottom w:val="0"/>
      <w:divBdr>
        <w:top w:val="none" w:sz="0" w:space="0" w:color="auto"/>
        <w:left w:val="none" w:sz="0" w:space="0" w:color="auto"/>
        <w:bottom w:val="none" w:sz="0" w:space="0" w:color="auto"/>
        <w:right w:val="none" w:sz="0" w:space="0" w:color="auto"/>
      </w:divBdr>
    </w:div>
    <w:div w:id="305086285">
      <w:bodyDiv w:val="1"/>
      <w:marLeft w:val="0"/>
      <w:marRight w:val="0"/>
      <w:marTop w:val="0"/>
      <w:marBottom w:val="0"/>
      <w:divBdr>
        <w:top w:val="none" w:sz="0" w:space="0" w:color="auto"/>
        <w:left w:val="none" w:sz="0" w:space="0" w:color="auto"/>
        <w:bottom w:val="none" w:sz="0" w:space="0" w:color="auto"/>
        <w:right w:val="none" w:sz="0" w:space="0" w:color="auto"/>
      </w:divBdr>
      <w:divsChild>
        <w:div w:id="497580685">
          <w:marLeft w:val="0"/>
          <w:marRight w:val="0"/>
          <w:marTop w:val="0"/>
          <w:marBottom w:val="0"/>
          <w:divBdr>
            <w:top w:val="none" w:sz="0" w:space="0" w:color="auto"/>
            <w:left w:val="none" w:sz="0" w:space="0" w:color="auto"/>
            <w:bottom w:val="none" w:sz="0" w:space="0" w:color="auto"/>
            <w:right w:val="none" w:sz="0" w:space="0" w:color="auto"/>
          </w:divBdr>
        </w:div>
        <w:div w:id="507327844">
          <w:marLeft w:val="0"/>
          <w:marRight w:val="0"/>
          <w:marTop w:val="0"/>
          <w:marBottom w:val="0"/>
          <w:divBdr>
            <w:top w:val="none" w:sz="0" w:space="0" w:color="auto"/>
            <w:left w:val="none" w:sz="0" w:space="0" w:color="auto"/>
            <w:bottom w:val="none" w:sz="0" w:space="0" w:color="auto"/>
            <w:right w:val="none" w:sz="0" w:space="0" w:color="auto"/>
          </w:divBdr>
        </w:div>
      </w:divsChild>
    </w:div>
    <w:div w:id="378090074">
      <w:bodyDiv w:val="1"/>
      <w:marLeft w:val="0"/>
      <w:marRight w:val="0"/>
      <w:marTop w:val="0"/>
      <w:marBottom w:val="0"/>
      <w:divBdr>
        <w:top w:val="none" w:sz="0" w:space="0" w:color="auto"/>
        <w:left w:val="none" w:sz="0" w:space="0" w:color="auto"/>
        <w:bottom w:val="none" w:sz="0" w:space="0" w:color="auto"/>
        <w:right w:val="none" w:sz="0" w:space="0" w:color="auto"/>
      </w:divBdr>
    </w:div>
    <w:div w:id="418061962">
      <w:bodyDiv w:val="1"/>
      <w:marLeft w:val="0"/>
      <w:marRight w:val="0"/>
      <w:marTop w:val="0"/>
      <w:marBottom w:val="0"/>
      <w:divBdr>
        <w:top w:val="none" w:sz="0" w:space="0" w:color="auto"/>
        <w:left w:val="none" w:sz="0" w:space="0" w:color="auto"/>
        <w:bottom w:val="none" w:sz="0" w:space="0" w:color="auto"/>
        <w:right w:val="none" w:sz="0" w:space="0" w:color="auto"/>
      </w:divBdr>
    </w:div>
    <w:div w:id="487016120">
      <w:bodyDiv w:val="1"/>
      <w:marLeft w:val="0"/>
      <w:marRight w:val="0"/>
      <w:marTop w:val="0"/>
      <w:marBottom w:val="0"/>
      <w:divBdr>
        <w:top w:val="none" w:sz="0" w:space="0" w:color="auto"/>
        <w:left w:val="none" w:sz="0" w:space="0" w:color="auto"/>
        <w:bottom w:val="none" w:sz="0" w:space="0" w:color="auto"/>
        <w:right w:val="none" w:sz="0" w:space="0" w:color="auto"/>
      </w:divBdr>
    </w:div>
    <w:div w:id="490633727">
      <w:bodyDiv w:val="1"/>
      <w:marLeft w:val="0"/>
      <w:marRight w:val="0"/>
      <w:marTop w:val="0"/>
      <w:marBottom w:val="0"/>
      <w:divBdr>
        <w:top w:val="none" w:sz="0" w:space="0" w:color="auto"/>
        <w:left w:val="none" w:sz="0" w:space="0" w:color="auto"/>
        <w:bottom w:val="none" w:sz="0" w:space="0" w:color="auto"/>
        <w:right w:val="none" w:sz="0" w:space="0" w:color="auto"/>
      </w:divBdr>
    </w:div>
    <w:div w:id="597837932">
      <w:bodyDiv w:val="1"/>
      <w:marLeft w:val="0"/>
      <w:marRight w:val="0"/>
      <w:marTop w:val="0"/>
      <w:marBottom w:val="0"/>
      <w:divBdr>
        <w:top w:val="none" w:sz="0" w:space="0" w:color="auto"/>
        <w:left w:val="none" w:sz="0" w:space="0" w:color="auto"/>
        <w:bottom w:val="none" w:sz="0" w:space="0" w:color="auto"/>
        <w:right w:val="none" w:sz="0" w:space="0" w:color="auto"/>
      </w:divBdr>
    </w:div>
    <w:div w:id="607659650">
      <w:bodyDiv w:val="1"/>
      <w:marLeft w:val="0"/>
      <w:marRight w:val="0"/>
      <w:marTop w:val="0"/>
      <w:marBottom w:val="0"/>
      <w:divBdr>
        <w:top w:val="none" w:sz="0" w:space="0" w:color="auto"/>
        <w:left w:val="none" w:sz="0" w:space="0" w:color="auto"/>
        <w:bottom w:val="none" w:sz="0" w:space="0" w:color="auto"/>
        <w:right w:val="none" w:sz="0" w:space="0" w:color="auto"/>
      </w:divBdr>
    </w:div>
    <w:div w:id="680157294">
      <w:bodyDiv w:val="1"/>
      <w:marLeft w:val="0"/>
      <w:marRight w:val="0"/>
      <w:marTop w:val="0"/>
      <w:marBottom w:val="0"/>
      <w:divBdr>
        <w:top w:val="none" w:sz="0" w:space="0" w:color="auto"/>
        <w:left w:val="none" w:sz="0" w:space="0" w:color="auto"/>
        <w:bottom w:val="none" w:sz="0" w:space="0" w:color="auto"/>
        <w:right w:val="none" w:sz="0" w:space="0" w:color="auto"/>
      </w:divBdr>
      <w:divsChild>
        <w:div w:id="820733629">
          <w:marLeft w:val="0"/>
          <w:marRight w:val="0"/>
          <w:marTop w:val="0"/>
          <w:marBottom w:val="0"/>
          <w:divBdr>
            <w:top w:val="none" w:sz="0" w:space="0" w:color="auto"/>
            <w:left w:val="none" w:sz="0" w:space="0" w:color="auto"/>
            <w:bottom w:val="none" w:sz="0" w:space="0" w:color="auto"/>
            <w:right w:val="none" w:sz="0" w:space="0" w:color="auto"/>
          </w:divBdr>
        </w:div>
        <w:div w:id="1147362578">
          <w:marLeft w:val="0"/>
          <w:marRight w:val="0"/>
          <w:marTop w:val="0"/>
          <w:marBottom w:val="0"/>
          <w:divBdr>
            <w:top w:val="none" w:sz="0" w:space="0" w:color="auto"/>
            <w:left w:val="none" w:sz="0" w:space="0" w:color="auto"/>
            <w:bottom w:val="none" w:sz="0" w:space="0" w:color="auto"/>
            <w:right w:val="none" w:sz="0" w:space="0" w:color="auto"/>
          </w:divBdr>
        </w:div>
        <w:div w:id="1224943931">
          <w:marLeft w:val="0"/>
          <w:marRight w:val="0"/>
          <w:marTop w:val="0"/>
          <w:marBottom w:val="0"/>
          <w:divBdr>
            <w:top w:val="none" w:sz="0" w:space="0" w:color="auto"/>
            <w:left w:val="none" w:sz="0" w:space="0" w:color="auto"/>
            <w:bottom w:val="none" w:sz="0" w:space="0" w:color="auto"/>
            <w:right w:val="none" w:sz="0" w:space="0" w:color="auto"/>
          </w:divBdr>
        </w:div>
        <w:div w:id="1257401850">
          <w:marLeft w:val="0"/>
          <w:marRight w:val="0"/>
          <w:marTop w:val="0"/>
          <w:marBottom w:val="0"/>
          <w:divBdr>
            <w:top w:val="none" w:sz="0" w:space="0" w:color="auto"/>
            <w:left w:val="none" w:sz="0" w:space="0" w:color="auto"/>
            <w:bottom w:val="none" w:sz="0" w:space="0" w:color="auto"/>
            <w:right w:val="none" w:sz="0" w:space="0" w:color="auto"/>
          </w:divBdr>
        </w:div>
        <w:div w:id="1274360514">
          <w:marLeft w:val="0"/>
          <w:marRight w:val="0"/>
          <w:marTop w:val="0"/>
          <w:marBottom w:val="0"/>
          <w:divBdr>
            <w:top w:val="none" w:sz="0" w:space="0" w:color="auto"/>
            <w:left w:val="none" w:sz="0" w:space="0" w:color="auto"/>
            <w:bottom w:val="none" w:sz="0" w:space="0" w:color="auto"/>
            <w:right w:val="none" w:sz="0" w:space="0" w:color="auto"/>
          </w:divBdr>
        </w:div>
        <w:div w:id="2054452237">
          <w:marLeft w:val="0"/>
          <w:marRight w:val="0"/>
          <w:marTop w:val="0"/>
          <w:marBottom w:val="0"/>
          <w:divBdr>
            <w:top w:val="none" w:sz="0" w:space="0" w:color="auto"/>
            <w:left w:val="none" w:sz="0" w:space="0" w:color="auto"/>
            <w:bottom w:val="none" w:sz="0" w:space="0" w:color="auto"/>
            <w:right w:val="none" w:sz="0" w:space="0" w:color="auto"/>
          </w:divBdr>
        </w:div>
        <w:div w:id="2083982295">
          <w:marLeft w:val="0"/>
          <w:marRight w:val="0"/>
          <w:marTop w:val="0"/>
          <w:marBottom w:val="0"/>
          <w:divBdr>
            <w:top w:val="none" w:sz="0" w:space="0" w:color="auto"/>
            <w:left w:val="none" w:sz="0" w:space="0" w:color="auto"/>
            <w:bottom w:val="none" w:sz="0" w:space="0" w:color="auto"/>
            <w:right w:val="none" w:sz="0" w:space="0" w:color="auto"/>
          </w:divBdr>
        </w:div>
      </w:divsChild>
    </w:div>
    <w:div w:id="781150762">
      <w:bodyDiv w:val="1"/>
      <w:marLeft w:val="0"/>
      <w:marRight w:val="0"/>
      <w:marTop w:val="0"/>
      <w:marBottom w:val="0"/>
      <w:divBdr>
        <w:top w:val="none" w:sz="0" w:space="0" w:color="auto"/>
        <w:left w:val="none" w:sz="0" w:space="0" w:color="auto"/>
        <w:bottom w:val="none" w:sz="0" w:space="0" w:color="auto"/>
        <w:right w:val="none" w:sz="0" w:space="0" w:color="auto"/>
      </w:divBdr>
    </w:div>
    <w:div w:id="906257989">
      <w:bodyDiv w:val="1"/>
      <w:marLeft w:val="0"/>
      <w:marRight w:val="0"/>
      <w:marTop w:val="0"/>
      <w:marBottom w:val="0"/>
      <w:divBdr>
        <w:top w:val="none" w:sz="0" w:space="0" w:color="auto"/>
        <w:left w:val="none" w:sz="0" w:space="0" w:color="auto"/>
        <w:bottom w:val="none" w:sz="0" w:space="0" w:color="auto"/>
        <w:right w:val="none" w:sz="0" w:space="0" w:color="auto"/>
      </w:divBdr>
    </w:div>
    <w:div w:id="967315055">
      <w:bodyDiv w:val="1"/>
      <w:marLeft w:val="0"/>
      <w:marRight w:val="0"/>
      <w:marTop w:val="0"/>
      <w:marBottom w:val="0"/>
      <w:divBdr>
        <w:top w:val="none" w:sz="0" w:space="0" w:color="auto"/>
        <w:left w:val="none" w:sz="0" w:space="0" w:color="auto"/>
        <w:bottom w:val="none" w:sz="0" w:space="0" w:color="auto"/>
        <w:right w:val="none" w:sz="0" w:space="0" w:color="auto"/>
      </w:divBdr>
    </w:div>
    <w:div w:id="1084689553">
      <w:bodyDiv w:val="1"/>
      <w:marLeft w:val="0"/>
      <w:marRight w:val="0"/>
      <w:marTop w:val="0"/>
      <w:marBottom w:val="0"/>
      <w:divBdr>
        <w:top w:val="none" w:sz="0" w:space="0" w:color="auto"/>
        <w:left w:val="none" w:sz="0" w:space="0" w:color="auto"/>
        <w:bottom w:val="none" w:sz="0" w:space="0" w:color="auto"/>
        <w:right w:val="none" w:sz="0" w:space="0" w:color="auto"/>
      </w:divBdr>
      <w:divsChild>
        <w:div w:id="298803565">
          <w:marLeft w:val="0"/>
          <w:marRight w:val="0"/>
          <w:marTop w:val="0"/>
          <w:marBottom w:val="0"/>
          <w:divBdr>
            <w:top w:val="none" w:sz="0" w:space="0" w:color="auto"/>
            <w:left w:val="none" w:sz="0" w:space="0" w:color="auto"/>
            <w:bottom w:val="none" w:sz="0" w:space="0" w:color="auto"/>
            <w:right w:val="none" w:sz="0" w:space="0" w:color="auto"/>
          </w:divBdr>
        </w:div>
        <w:div w:id="572083693">
          <w:marLeft w:val="0"/>
          <w:marRight w:val="0"/>
          <w:marTop w:val="0"/>
          <w:marBottom w:val="0"/>
          <w:divBdr>
            <w:top w:val="none" w:sz="0" w:space="0" w:color="auto"/>
            <w:left w:val="none" w:sz="0" w:space="0" w:color="auto"/>
            <w:bottom w:val="none" w:sz="0" w:space="0" w:color="auto"/>
            <w:right w:val="none" w:sz="0" w:space="0" w:color="auto"/>
          </w:divBdr>
        </w:div>
        <w:div w:id="622422064">
          <w:marLeft w:val="0"/>
          <w:marRight w:val="0"/>
          <w:marTop w:val="0"/>
          <w:marBottom w:val="0"/>
          <w:divBdr>
            <w:top w:val="none" w:sz="0" w:space="0" w:color="auto"/>
            <w:left w:val="none" w:sz="0" w:space="0" w:color="auto"/>
            <w:bottom w:val="none" w:sz="0" w:space="0" w:color="auto"/>
            <w:right w:val="none" w:sz="0" w:space="0" w:color="auto"/>
          </w:divBdr>
        </w:div>
        <w:div w:id="939144183">
          <w:marLeft w:val="0"/>
          <w:marRight w:val="0"/>
          <w:marTop w:val="0"/>
          <w:marBottom w:val="0"/>
          <w:divBdr>
            <w:top w:val="none" w:sz="0" w:space="0" w:color="auto"/>
            <w:left w:val="none" w:sz="0" w:space="0" w:color="auto"/>
            <w:bottom w:val="none" w:sz="0" w:space="0" w:color="auto"/>
            <w:right w:val="none" w:sz="0" w:space="0" w:color="auto"/>
          </w:divBdr>
        </w:div>
      </w:divsChild>
    </w:div>
    <w:div w:id="1107772462">
      <w:bodyDiv w:val="1"/>
      <w:marLeft w:val="0"/>
      <w:marRight w:val="0"/>
      <w:marTop w:val="0"/>
      <w:marBottom w:val="0"/>
      <w:divBdr>
        <w:top w:val="none" w:sz="0" w:space="0" w:color="auto"/>
        <w:left w:val="none" w:sz="0" w:space="0" w:color="auto"/>
        <w:bottom w:val="none" w:sz="0" w:space="0" w:color="auto"/>
        <w:right w:val="none" w:sz="0" w:space="0" w:color="auto"/>
      </w:divBdr>
    </w:div>
    <w:div w:id="1130627925">
      <w:bodyDiv w:val="1"/>
      <w:marLeft w:val="0"/>
      <w:marRight w:val="0"/>
      <w:marTop w:val="0"/>
      <w:marBottom w:val="0"/>
      <w:divBdr>
        <w:top w:val="none" w:sz="0" w:space="0" w:color="auto"/>
        <w:left w:val="none" w:sz="0" w:space="0" w:color="auto"/>
        <w:bottom w:val="none" w:sz="0" w:space="0" w:color="auto"/>
        <w:right w:val="none" w:sz="0" w:space="0" w:color="auto"/>
      </w:divBdr>
      <w:divsChild>
        <w:div w:id="82268301">
          <w:marLeft w:val="0"/>
          <w:marRight w:val="0"/>
          <w:marTop w:val="0"/>
          <w:marBottom w:val="0"/>
          <w:divBdr>
            <w:top w:val="none" w:sz="0" w:space="0" w:color="auto"/>
            <w:left w:val="none" w:sz="0" w:space="0" w:color="auto"/>
            <w:bottom w:val="none" w:sz="0" w:space="0" w:color="auto"/>
            <w:right w:val="none" w:sz="0" w:space="0" w:color="auto"/>
          </w:divBdr>
        </w:div>
        <w:div w:id="424503112">
          <w:marLeft w:val="0"/>
          <w:marRight w:val="0"/>
          <w:marTop w:val="0"/>
          <w:marBottom w:val="0"/>
          <w:divBdr>
            <w:top w:val="none" w:sz="0" w:space="0" w:color="auto"/>
            <w:left w:val="none" w:sz="0" w:space="0" w:color="auto"/>
            <w:bottom w:val="none" w:sz="0" w:space="0" w:color="auto"/>
            <w:right w:val="none" w:sz="0" w:space="0" w:color="auto"/>
          </w:divBdr>
        </w:div>
        <w:div w:id="741685197">
          <w:marLeft w:val="0"/>
          <w:marRight w:val="0"/>
          <w:marTop w:val="0"/>
          <w:marBottom w:val="0"/>
          <w:divBdr>
            <w:top w:val="none" w:sz="0" w:space="0" w:color="auto"/>
            <w:left w:val="none" w:sz="0" w:space="0" w:color="auto"/>
            <w:bottom w:val="none" w:sz="0" w:space="0" w:color="auto"/>
            <w:right w:val="none" w:sz="0" w:space="0" w:color="auto"/>
          </w:divBdr>
        </w:div>
        <w:div w:id="1192231769">
          <w:marLeft w:val="0"/>
          <w:marRight w:val="0"/>
          <w:marTop w:val="0"/>
          <w:marBottom w:val="0"/>
          <w:divBdr>
            <w:top w:val="none" w:sz="0" w:space="0" w:color="auto"/>
            <w:left w:val="none" w:sz="0" w:space="0" w:color="auto"/>
            <w:bottom w:val="none" w:sz="0" w:space="0" w:color="auto"/>
            <w:right w:val="none" w:sz="0" w:space="0" w:color="auto"/>
          </w:divBdr>
        </w:div>
        <w:div w:id="1474830608">
          <w:marLeft w:val="0"/>
          <w:marRight w:val="0"/>
          <w:marTop w:val="0"/>
          <w:marBottom w:val="0"/>
          <w:divBdr>
            <w:top w:val="none" w:sz="0" w:space="0" w:color="auto"/>
            <w:left w:val="none" w:sz="0" w:space="0" w:color="auto"/>
            <w:bottom w:val="none" w:sz="0" w:space="0" w:color="auto"/>
            <w:right w:val="none" w:sz="0" w:space="0" w:color="auto"/>
          </w:divBdr>
        </w:div>
        <w:div w:id="2138525879">
          <w:marLeft w:val="0"/>
          <w:marRight w:val="0"/>
          <w:marTop w:val="0"/>
          <w:marBottom w:val="0"/>
          <w:divBdr>
            <w:top w:val="none" w:sz="0" w:space="0" w:color="auto"/>
            <w:left w:val="none" w:sz="0" w:space="0" w:color="auto"/>
            <w:bottom w:val="none" w:sz="0" w:space="0" w:color="auto"/>
            <w:right w:val="none" w:sz="0" w:space="0" w:color="auto"/>
          </w:divBdr>
        </w:div>
      </w:divsChild>
    </w:div>
    <w:div w:id="1135566343">
      <w:bodyDiv w:val="1"/>
      <w:marLeft w:val="0"/>
      <w:marRight w:val="0"/>
      <w:marTop w:val="0"/>
      <w:marBottom w:val="0"/>
      <w:divBdr>
        <w:top w:val="none" w:sz="0" w:space="0" w:color="auto"/>
        <w:left w:val="none" w:sz="0" w:space="0" w:color="auto"/>
        <w:bottom w:val="none" w:sz="0" w:space="0" w:color="auto"/>
        <w:right w:val="none" w:sz="0" w:space="0" w:color="auto"/>
      </w:divBdr>
    </w:div>
    <w:div w:id="1200126087">
      <w:bodyDiv w:val="1"/>
      <w:marLeft w:val="0"/>
      <w:marRight w:val="0"/>
      <w:marTop w:val="0"/>
      <w:marBottom w:val="0"/>
      <w:divBdr>
        <w:top w:val="none" w:sz="0" w:space="0" w:color="auto"/>
        <w:left w:val="none" w:sz="0" w:space="0" w:color="auto"/>
        <w:bottom w:val="none" w:sz="0" w:space="0" w:color="auto"/>
        <w:right w:val="none" w:sz="0" w:space="0" w:color="auto"/>
      </w:divBdr>
    </w:div>
    <w:div w:id="1211266763">
      <w:bodyDiv w:val="1"/>
      <w:marLeft w:val="0"/>
      <w:marRight w:val="0"/>
      <w:marTop w:val="0"/>
      <w:marBottom w:val="0"/>
      <w:divBdr>
        <w:top w:val="none" w:sz="0" w:space="0" w:color="auto"/>
        <w:left w:val="none" w:sz="0" w:space="0" w:color="auto"/>
        <w:bottom w:val="none" w:sz="0" w:space="0" w:color="auto"/>
        <w:right w:val="none" w:sz="0" w:space="0" w:color="auto"/>
      </w:divBdr>
    </w:div>
    <w:div w:id="1217931282">
      <w:bodyDiv w:val="1"/>
      <w:marLeft w:val="0"/>
      <w:marRight w:val="0"/>
      <w:marTop w:val="0"/>
      <w:marBottom w:val="0"/>
      <w:divBdr>
        <w:top w:val="none" w:sz="0" w:space="0" w:color="auto"/>
        <w:left w:val="none" w:sz="0" w:space="0" w:color="auto"/>
        <w:bottom w:val="none" w:sz="0" w:space="0" w:color="auto"/>
        <w:right w:val="none" w:sz="0" w:space="0" w:color="auto"/>
      </w:divBdr>
    </w:div>
    <w:div w:id="1260918000">
      <w:bodyDiv w:val="1"/>
      <w:marLeft w:val="0"/>
      <w:marRight w:val="0"/>
      <w:marTop w:val="0"/>
      <w:marBottom w:val="0"/>
      <w:divBdr>
        <w:top w:val="none" w:sz="0" w:space="0" w:color="auto"/>
        <w:left w:val="none" w:sz="0" w:space="0" w:color="auto"/>
        <w:bottom w:val="none" w:sz="0" w:space="0" w:color="auto"/>
        <w:right w:val="none" w:sz="0" w:space="0" w:color="auto"/>
      </w:divBdr>
    </w:div>
    <w:div w:id="1261446122">
      <w:bodyDiv w:val="1"/>
      <w:marLeft w:val="0"/>
      <w:marRight w:val="0"/>
      <w:marTop w:val="0"/>
      <w:marBottom w:val="0"/>
      <w:divBdr>
        <w:top w:val="none" w:sz="0" w:space="0" w:color="auto"/>
        <w:left w:val="none" w:sz="0" w:space="0" w:color="auto"/>
        <w:bottom w:val="none" w:sz="0" w:space="0" w:color="auto"/>
        <w:right w:val="none" w:sz="0" w:space="0" w:color="auto"/>
      </w:divBdr>
    </w:div>
    <w:div w:id="1326082938">
      <w:bodyDiv w:val="1"/>
      <w:marLeft w:val="0"/>
      <w:marRight w:val="0"/>
      <w:marTop w:val="0"/>
      <w:marBottom w:val="0"/>
      <w:divBdr>
        <w:top w:val="none" w:sz="0" w:space="0" w:color="auto"/>
        <w:left w:val="none" w:sz="0" w:space="0" w:color="auto"/>
        <w:bottom w:val="none" w:sz="0" w:space="0" w:color="auto"/>
        <w:right w:val="none" w:sz="0" w:space="0" w:color="auto"/>
      </w:divBdr>
    </w:div>
    <w:div w:id="1353727372">
      <w:bodyDiv w:val="1"/>
      <w:marLeft w:val="0"/>
      <w:marRight w:val="0"/>
      <w:marTop w:val="0"/>
      <w:marBottom w:val="0"/>
      <w:divBdr>
        <w:top w:val="none" w:sz="0" w:space="0" w:color="auto"/>
        <w:left w:val="none" w:sz="0" w:space="0" w:color="auto"/>
        <w:bottom w:val="none" w:sz="0" w:space="0" w:color="auto"/>
        <w:right w:val="none" w:sz="0" w:space="0" w:color="auto"/>
      </w:divBdr>
      <w:divsChild>
        <w:div w:id="838272539">
          <w:marLeft w:val="0"/>
          <w:marRight w:val="0"/>
          <w:marTop w:val="0"/>
          <w:marBottom w:val="0"/>
          <w:divBdr>
            <w:top w:val="none" w:sz="0" w:space="0" w:color="auto"/>
            <w:left w:val="none" w:sz="0" w:space="0" w:color="auto"/>
            <w:bottom w:val="none" w:sz="0" w:space="0" w:color="auto"/>
            <w:right w:val="none" w:sz="0" w:space="0" w:color="auto"/>
          </w:divBdr>
        </w:div>
        <w:div w:id="860046431">
          <w:marLeft w:val="0"/>
          <w:marRight w:val="0"/>
          <w:marTop w:val="0"/>
          <w:marBottom w:val="0"/>
          <w:divBdr>
            <w:top w:val="none" w:sz="0" w:space="0" w:color="auto"/>
            <w:left w:val="none" w:sz="0" w:space="0" w:color="auto"/>
            <w:bottom w:val="none" w:sz="0" w:space="0" w:color="auto"/>
            <w:right w:val="none" w:sz="0" w:space="0" w:color="auto"/>
          </w:divBdr>
        </w:div>
      </w:divsChild>
    </w:div>
    <w:div w:id="1392269070">
      <w:bodyDiv w:val="1"/>
      <w:marLeft w:val="0"/>
      <w:marRight w:val="0"/>
      <w:marTop w:val="0"/>
      <w:marBottom w:val="0"/>
      <w:divBdr>
        <w:top w:val="none" w:sz="0" w:space="0" w:color="auto"/>
        <w:left w:val="none" w:sz="0" w:space="0" w:color="auto"/>
        <w:bottom w:val="none" w:sz="0" w:space="0" w:color="auto"/>
        <w:right w:val="none" w:sz="0" w:space="0" w:color="auto"/>
      </w:divBdr>
    </w:div>
    <w:div w:id="1576472409">
      <w:bodyDiv w:val="1"/>
      <w:marLeft w:val="0"/>
      <w:marRight w:val="0"/>
      <w:marTop w:val="0"/>
      <w:marBottom w:val="0"/>
      <w:divBdr>
        <w:top w:val="none" w:sz="0" w:space="0" w:color="auto"/>
        <w:left w:val="none" w:sz="0" w:space="0" w:color="auto"/>
        <w:bottom w:val="none" w:sz="0" w:space="0" w:color="auto"/>
        <w:right w:val="none" w:sz="0" w:space="0" w:color="auto"/>
      </w:divBdr>
      <w:divsChild>
        <w:div w:id="780733002">
          <w:marLeft w:val="0"/>
          <w:marRight w:val="0"/>
          <w:marTop w:val="0"/>
          <w:marBottom w:val="0"/>
          <w:divBdr>
            <w:top w:val="none" w:sz="0" w:space="0" w:color="auto"/>
            <w:left w:val="none" w:sz="0" w:space="0" w:color="auto"/>
            <w:bottom w:val="none" w:sz="0" w:space="0" w:color="auto"/>
            <w:right w:val="none" w:sz="0" w:space="0" w:color="auto"/>
          </w:divBdr>
        </w:div>
        <w:div w:id="1286037917">
          <w:marLeft w:val="0"/>
          <w:marRight w:val="0"/>
          <w:marTop w:val="0"/>
          <w:marBottom w:val="0"/>
          <w:divBdr>
            <w:top w:val="none" w:sz="0" w:space="0" w:color="auto"/>
            <w:left w:val="none" w:sz="0" w:space="0" w:color="auto"/>
            <w:bottom w:val="none" w:sz="0" w:space="0" w:color="auto"/>
            <w:right w:val="none" w:sz="0" w:space="0" w:color="auto"/>
          </w:divBdr>
        </w:div>
        <w:div w:id="1420173547">
          <w:marLeft w:val="0"/>
          <w:marRight w:val="0"/>
          <w:marTop w:val="0"/>
          <w:marBottom w:val="0"/>
          <w:divBdr>
            <w:top w:val="none" w:sz="0" w:space="0" w:color="auto"/>
            <w:left w:val="none" w:sz="0" w:space="0" w:color="auto"/>
            <w:bottom w:val="none" w:sz="0" w:space="0" w:color="auto"/>
            <w:right w:val="none" w:sz="0" w:space="0" w:color="auto"/>
          </w:divBdr>
        </w:div>
        <w:div w:id="1516846844">
          <w:marLeft w:val="0"/>
          <w:marRight w:val="0"/>
          <w:marTop w:val="0"/>
          <w:marBottom w:val="0"/>
          <w:divBdr>
            <w:top w:val="none" w:sz="0" w:space="0" w:color="auto"/>
            <w:left w:val="none" w:sz="0" w:space="0" w:color="auto"/>
            <w:bottom w:val="none" w:sz="0" w:space="0" w:color="auto"/>
            <w:right w:val="none" w:sz="0" w:space="0" w:color="auto"/>
          </w:divBdr>
        </w:div>
      </w:divsChild>
    </w:div>
    <w:div w:id="1638099537">
      <w:bodyDiv w:val="1"/>
      <w:marLeft w:val="0"/>
      <w:marRight w:val="0"/>
      <w:marTop w:val="0"/>
      <w:marBottom w:val="0"/>
      <w:divBdr>
        <w:top w:val="none" w:sz="0" w:space="0" w:color="auto"/>
        <w:left w:val="none" w:sz="0" w:space="0" w:color="auto"/>
        <w:bottom w:val="none" w:sz="0" w:space="0" w:color="auto"/>
        <w:right w:val="none" w:sz="0" w:space="0" w:color="auto"/>
      </w:divBdr>
    </w:div>
    <w:div w:id="1668241176">
      <w:bodyDiv w:val="1"/>
      <w:marLeft w:val="0"/>
      <w:marRight w:val="0"/>
      <w:marTop w:val="0"/>
      <w:marBottom w:val="0"/>
      <w:divBdr>
        <w:top w:val="none" w:sz="0" w:space="0" w:color="auto"/>
        <w:left w:val="none" w:sz="0" w:space="0" w:color="auto"/>
        <w:bottom w:val="none" w:sz="0" w:space="0" w:color="auto"/>
        <w:right w:val="none" w:sz="0" w:space="0" w:color="auto"/>
      </w:divBdr>
    </w:div>
    <w:div w:id="1698698079">
      <w:bodyDiv w:val="1"/>
      <w:marLeft w:val="0"/>
      <w:marRight w:val="0"/>
      <w:marTop w:val="0"/>
      <w:marBottom w:val="0"/>
      <w:divBdr>
        <w:top w:val="none" w:sz="0" w:space="0" w:color="auto"/>
        <w:left w:val="none" w:sz="0" w:space="0" w:color="auto"/>
        <w:bottom w:val="none" w:sz="0" w:space="0" w:color="auto"/>
        <w:right w:val="none" w:sz="0" w:space="0" w:color="auto"/>
      </w:divBdr>
    </w:div>
    <w:div w:id="1769345941">
      <w:bodyDiv w:val="1"/>
      <w:marLeft w:val="0"/>
      <w:marRight w:val="0"/>
      <w:marTop w:val="0"/>
      <w:marBottom w:val="0"/>
      <w:divBdr>
        <w:top w:val="none" w:sz="0" w:space="0" w:color="auto"/>
        <w:left w:val="none" w:sz="0" w:space="0" w:color="auto"/>
        <w:bottom w:val="none" w:sz="0" w:space="0" w:color="auto"/>
        <w:right w:val="none" w:sz="0" w:space="0" w:color="auto"/>
      </w:divBdr>
      <w:divsChild>
        <w:div w:id="67310002">
          <w:marLeft w:val="0"/>
          <w:marRight w:val="0"/>
          <w:marTop w:val="0"/>
          <w:marBottom w:val="0"/>
          <w:divBdr>
            <w:top w:val="none" w:sz="0" w:space="0" w:color="auto"/>
            <w:left w:val="none" w:sz="0" w:space="0" w:color="auto"/>
            <w:bottom w:val="none" w:sz="0" w:space="0" w:color="auto"/>
            <w:right w:val="none" w:sz="0" w:space="0" w:color="auto"/>
          </w:divBdr>
        </w:div>
        <w:div w:id="376468841">
          <w:marLeft w:val="0"/>
          <w:marRight w:val="0"/>
          <w:marTop w:val="0"/>
          <w:marBottom w:val="0"/>
          <w:divBdr>
            <w:top w:val="none" w:sz="0" w:space="0" w:color="auto"/>
            <w:left w:val="none" w:sz="0" w:space="0" w:color="auto"/>
            <w:bottom w:val="none" w:sz="0" w:space="0" w:color="auto"/>
            <w:right w:val="none" w:sz="0" w:space="0" w:color="auto"/>
          </w:divBdr>
        </w:div>
        <w:div w:id="448016374">
          <w:marLeft w:val="0"/>
          <w:marRight w:val="0"/>
          <w:marTop w:val="0"/>
          <w:marBottom w:val="0"/>
          <w:divBdr>
            <w:top w:val="none" w:sz="0" w:space="0" w:color="auto"/>
            <w:left w:val="none" w:sz="0" w:space="0" w:color="auto"/>
            <w:bottom w:val="none" w:sz="0" w:space="0" w:color="auto"/>
            <w:right w:val="none" w:sz="0" w:space="0" w:color="auto"/>
          </w:divBdr>
        </w:div>
        <w:div w:id="611938079">
          <w:marLeft w:val="0"/>
          <w:marRight w:val="0"/>
          <w:marTop w:val="0"/>
          <w:marBottom w:val="0"/>
          <w:divBdr>
            <w:top w:val="none" w:sz="0" w:space="0" w:color="auto"/>
            <w:left w:val="none" w:sz="0" w:space="0" w:color="auto"/>
            <w:bottom w:val="none" w:sz="0" w:space="0" w:color="auto"/>
            <w:right w:val="none" w:sz="0" w:space="0" w:color="auto"/>
          </w:divBdr>
        </w:div>
        <w:div w:id="967318610">
          <w:marLeft w:val="0"/>
          <w:marRight w:val="0"/>
          <w:marTop w:val="0"/>
          <w:marBottom w:val="0"/>
          <w:divBdr>
            <w:top w:val="none" w:sz="0" w:space="0" w:color="auto"/>
            <w:left w:val="none" w:sz="0" w:space="0" w:color="auto"/>
            <w:bottom w:val="none" w:sz="0" w:space="0" w:color="auto"/>
            <w:right w:val="none" w:sz="0" w:space="0" w:color="auto"/>
          </w:divBdr>
        </w:div>
        <w:div w:id="1555432860">
          <w:marLeft w:val="0"/>
          <w:marRight w:val="0"/>
          <w:marTop w:val="0"/>
          <w:marBottom w:val="0"/>
          <w:divBdr>
            <w:top w:val="none" w:sz="0" w:space="0" w:color="auto"/>
            <w:left w:val="none" w:sz="0" w:space="0" w:color="auto"/>
            <w:bottom w:val="none" w:sz="0" w:space="0" w:color="auto"/>
            <w:right w:val="none" w:sz="0" w:space="0" w:color="auto"/>
          </w:divBdr>
        </w:div>
        <w:div w:id="1685521774">
          <w:marLeft w:val="0"/>
          <w:marRight w:val="0"/>
          <w:marTop w:val="0"/>
          <w:marBottom w:val="0"/>
          <w:divBdr>
            <w:top w:val="none" w:sz="0" w:space="0" w:color="auto"/>
            <w:left w:val="none" w:sz="0" w:space="0" w:color="auto"/>
            <w:bottom w:val="none" w:sz="0" w:space="0" w:color="auto"/>
            <w:right w:val="none" w:sz="0" w:space="0" w:color="auto"/>
          </w:divBdr>
        </w:div>
      </w:divsChild>
    </w:div>
    <w:div w:id="1828548213">
      <w:bodyDiv w:val="1"/>
      <w:marLeft w:val="0"/>
      <w:marRight w:val="0"/>
      <w:marTop w:val="0"/>
      <w:marBottom w:val="0"/>
      <w:divBdr>
        <w:top w:val="none" w:sz="0" w:space="0" w:color="auto"/>
        <w:left w:val="none" w:sz="0" w:space="0" w:color="auto"/>
        <w:bottom w:val="none" w:sz="0" w:space="0" w:color="auto"/>
        <w:right w:val="none" w:sz="0" w:space="0" w:color="auto"/>
      </w:divBdr>
    </w:div>
    <w:div w:id="1892229671">
      <w:bodyDiv w:val="1"/>
      <w:marLeft w:val="0"/>
      <w:marRight w:val="0"/>
      <w:marTop w:val="0"/>
      <w:marBottom w:val="0"/>
      <w:divBdr>
        <w:top w:val="none" w:sz="0" w:space="0" w:color="auto"/>
        <w:left w:val="none" w:sz="0" w:space="0" w:color="auto"/>
        <w:bottom w:val="none" w:sz="0" w:space="0" w:color="auto"/>
        <w:right w:val="none" w:sz="0" w:space="0" w:color="auto"/>
      </w:divBdr>
    </w:div>
    <w:div w:id="1953319110">
      <w:bodyDiv w:val="1"/>
      <w:marLeft w:val="0"/>
      <w:marRight w:val="0"/>
      <w:marTop w:val="0"/>
      <w:marBottom w:val="0"/>
      <w:divBdr>
        <w:top w:val="none" w:sz="0" w:space="0" w:color="auto"/>
        <w:left w:val="none" w:sz="0" w:space="0" w:color="auto"/>
        <w:bottom w:val="none" w:sz="0" w:space="0" w:color="auto"/>
        <w:right w:val="none" w:sz="0" w:space="0" w:color="auto"/>
      </w:divBdr>
    </w:div>
    <w:div w:id="2140102172">
      <w:bodyDiv w:val="1"/>
      <w:marLeft w:val="0"/>
      <w:marRight w:val="0"/>
      <w:marTop w:val="0"/>
      <w:marBottom w:val="0"/>
      <w:divBdr>
        <w:top w:val="none" w:sz="0" w:space="0" w:color="auto"/>
        <w:left w:val="none" w:sz="0" w:space="0" w:color="auto"/>
        <w:bottom w:val="none" w:sz="0" w:space="0" w:color="auto"/>
        <w:right w:val="none" w:sz="0" w:space="0" w:color="auto"/>
      </w:divBdr>
    </w:div>
    <w:div w:id="2147308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image" Target="media/image4.emf"/><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footer" Target="footer6.xml"/><Relationship Id="R3b779e4623904e9b" Type="http://schemas.microsoft.com/office/2019/09/relationships/intelligence" Target="intelligence.xml"/><Relationship Id="rId10" Type="http://schemas.openxmlformats.org/officeDocument/2006/relationships/footnotes" Target="footnotes.xml"/><Relationship Id="rId19" Type="http://schemas.openxmlformats.org/officeDocument/2006/relationships/image" Target="media/image2.jpeg"/><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emf"/><Relationship Id="rId27" Type="http://schemas.openxmlformats.org/officeDocument/2006/relationships/header" Target="header6.xml"/><Relationship Id="rId30"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E539E3C5-F253-4910-AA15-81150562DC49}">
    <t:Anchor>
      <t:Comment id="398034578"/>
    </t:Anchor>
    <t:History>
      <t:Event id="{39BEC6A4-C1E0-4045-AA61-FBB8204B8541}" time="2025-11-10T11:19:32.203Z">
        <t:Attribution userId="S::Katharina.FRANKE@ec.europa.eu::8510be0e-6b23-4ed3-bbfa-14b9c29adcd4" userProvider="AD" userName="FRANKE Katharina (CLIMA)"/>
        <t:Anchor>
          <t:Comment id="1088668765"/>
        </t:Anchor>
        <t:Create/>
      </t:Event>
      <t:Event id="{98C9F279-F36E-4F76-985A-989BF06E2F5C}" time="2025-11-10T11:19:32.203Z">
        <t:Attribution userId="S::Katharina.FRANKE@ec.europa.eu::8510be0e-6b23-4ed3-bbfa-14b9c29adcd4" userProvider="AD" userName="FRANKE Katharina (CLIMA)"/>
        <t:Anchor>
          <t:Comment id="1088668765"/>
        </t:Anchor>
        <t:Assign userId="S::Michael.KLINKENBERG@ec.europa.eu::f548c90c-4e22-4008-b8f5-d602b6189004" userProvider="AD" userName="KLINKENBERG Michael (TAXUD)"/>
      </t:Event>
      <t:Event id="{386579AD-A577-4398-A273-45B1A812ED3D}" time="2025-11-10T11:19:32.203Z">
        <t:Attribution userId="S::Katharina.FRANKE@ec.europa.eu::8510be0e-6b23-4ed3-bbfa-14b9c29adcd4" userProvider="AD" userName="FRANKE Katharina (CLIMA)"/>
        <t:Anchor>
          <t:Comment id="1088668765"/>
        </t:Anchor>
        <t:SetTitle title="@KLINKENBERG Michael (TAXUD) of for you, too?"/>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4791A109AB1DC41A76929AC2EC32806" ma:contentTypeVersion="3" ma:contentTypeDescription="Create a new document." ma:contentTypeScope="" ma:versionID="fe08ee839ef95ae1036a50815d05f69c">
  <xsd:schema xmlns:xsd="http://www.w3.org/2001/XMLSchema" xmlns:xs="http://www.w3.org/2001/XMLSchema" xmlns:p="http://schemas.microsoft.com/office/2006/metadata/properties" xmlns:ns2="61fb34b5-cab4-43e9-a508-4bed7a70a0d8" targetNamespace="http://schemas.microsoft.com/office/2006/metadata/properties" ma:root="true" ma:fieldsID="02f3bb1234b7e8ae6a7bc1c4b680f372" ns2:_="">
    <xsd:import namespace="61fb34b5-cab4-43e9-a508-4bed7a70a0d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fb34b5-cab4-43e9-a508-4bed7a70a0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14791A109AB1DC41A76929AC2EC32806" ma:contentTypeVersion="3" ma:contentTypeDescription="Create a new document." ma:contentTypeScope="" ma:versionID="fe08ee839ef95ae1036a50815d05f69c">
  <xsd:schema xmlns:xsd="http://www.w3.org/2001/XMLSchema" xmlns:xs="http://www.w3.org/2001/XMLSchema" xmlns:p="http://schemas.microsoft.com/office/2006/metadata/properties" xmlns:ns2="61fb34b5-cab4-43e9-a508-4bed7a70a0d8" targetNamespace="http://schemas.microsoft.com/office/2006/metadata/properties" ma:root="true" ma:fieldsID="02f3bb1234b7e8ae6a7bc1c4b680f372" ns2:_="">
    <xsd:import namespace="61fb34b5-cab4-43e9-a508-4bed7a70a0d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fb34b5-cab4-43e9-a508-4bed7a70a0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4F8EF13-0F21-4A65-9AC7-0F08A8C33072}">
  <ds:schemaRefs>
    <ds:schemaRef ds:uri="http://schemas.microsoft.com/sharepoint/v3/contenttype/forms"/>
  </ds:schemaRefs>
</ds:datastoreItem>
</file>

<file path=customXml/itemProps2.xml><?xml version="1.0" encoding="utf-8"?>
<ds:datastoreItem xmlns:ds="http://schemas.openxmlformats.org/officeDocument/2006/customXml" ds:itemID="{EDC7D44F-5ACB-469D-89E8-0B65743420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fb34b5-cab4-43e9-a508-4bed7a70a0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DF21FF-2CAD-4C2D-8A98-ED7FAE87B5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fb34b5-cab4-43e9-a508-4bed7a70a0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AC5CD4-3A96-40A8-8B05-6641B29241D5}">
  <ds:schemaRefs>
    <ds:schemaRef ds:uri="http://schemas.openxmlformats.org/officeDocument/2006/bibliography"/>
  </ds:schemaRefs>
</ds:datastoreItem>
</file>

<file path=customXml/itemProps5.xml><?xml version="1.0" encoding="utf-8"?>
<ds:datastoreItem xmlns:ds="http://schemas.openxmlformats.org/officeDocument/2006/customXml" ds:itemID="{CD431827-8DD6-48C5-AC24-3A7553ACF51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19</Pages>
  <Words>6585</Words>
  <Characters>44318</Characters>
  <Application>Microsoft Office Word</Application>
  <DocSecurity>0</DocSecurity>
  <Lines>2769</Lines>
  <Paragraphs>1755</Paragraphs>
  <ScaleCrop>false</ScaleCrop>
  <HeadingPairs>
    <vt:vector size="2" baseType="variant">
      <vt:variant>
        <vt:lpstr>Title</vt:lpstr>
      </vt:variant>
      <vt:variant>
        <vt:i4>1</vt:i4>
      </vt:variant>
    </vt:vector>
  </HeadingPairs>
  <TitlesOfParts>
    <vt:vector size="1" baseType="lpstr">
      <vt:lpstr>20210324_Draft_SWD_ZP_digital_solution_V3.1-ISC LWformat</vt:lpstr>
    </vt:vector>
  </TitlesOfParts>
  <Manager/>
  <Company/>
  <LinksUpToDate>false</LinksUpToDate>
  <CharactersWithSpaces>49148</CharactersWithSpaces>
  <SharedDoc>false</SharedDoc>
  <HLinks>
    <vt:vector size="78" baseType="variant">
      <vt:variant>
        <vt:i4>1310774</vt:i4>
      </vt:variant>
      <vt:variant>
        <vt:i4>74</vt:i4>
      </vt:variant>
      <vt:variant>
        <vt:i4>0</vt:i4>
      </vt:variant>
      <vt:variant>
        <vt:i4>5</vt:i4>
      </vt:variant>
      <vt:variant>
        <vt:lpwstr/>
      </vt:variant>
      <vt:variant>
        <vt:lpwstr>_Toc224111115</vt:lpwstr>
      </vt:variant>
      <vt:variant>
        <vt:i4>1310774</vt:i4>
      </vt:variant>
      <vt:variant>
        <vt:i4>68</vt:i4>
      </vt:variant>
      <vt:variant>
        <vt:i4>0</vt:i4>
      </vt:variant>
      <vt:variant>
        <vt:i4>5</vt:i4>
      </vt:variant>
      <vt:variant>
        <vt:lpwstr/>
      </vt:variant>
      <vt:variant>
        <vt:lpwstr>_Toc224111114</vt:lpwstr>
      </vt:variant>
      <vt:variant>
        <vt:i4>1310774</vt:i4>
      </vt:variant>
      <vt:variant>
        <vt:i4>62</vt:i4>
      </vt:variant>
      <vt:variant>
        <vt:i4>0</vt:i4>
      </vt:variant>
      <vt:variant>
        <vt:i4>5</vt:i4>
      </vt:variant>
      <vt:variant>
        <vt:lpwstr/>
      </vt:variant>
      <vt:variant>
        <vt:lpwstr>_Toc224111113</vt:lpwstr>
      </vt:variant>
      <vt:variant>
        <vt:i4>1310774</vt:i4>
      </vt:variant>
      <vt:variant>
        <vt:i4>56</vt:i4>
      </vt:variant>
      <vt:variant>
        <vt:i4>0</vt:i4>
      </vt:variant>
      <vt:variant>
        <vt:i4>5</vt:i4>
      </vt:variant>
      <vt:variant>
        <vt:lpwstr/>
      </vt:variant>
      <vt:variant>
        <vt:lpwstr>_Toc224111112</vt:lpwstr>
      </vt:variant>
      <vt:variant>
        <vt:i4>1310774</vt:i4>
      </vt:variant>
      <vt:variant>
        <vt:i4>50</vt:i4>
      </vt:variant>
      <vt:variant>
        <vt:i4>0</vt:i4>
      </vt:variant>
      <vt:variant>
        <vt:i4>5</vt:i4>
      </vt:variant>
      <vt:variant>
        <vt:lpwstr/>
      </vt:variant>
      <vt:variant>
        <vt:lpwstr>_Toc224111111</vt:lpwstr>
      </vt:variant>
      <vt:variant>
        <vt:i4>1310774</vt:i4>
      </vt:variant>
      <vt:variant>
        <vt:i4>44</vt:i4>
      </vt:variant>
      <vt:variant>
        <vt:i4>0</vt:i4>
      </vt:variant>
      <vt:variant>
        <vt:i4>5</vt:i4>
      </vt:variant>
      <vt:variant>
        <vt:lpwstr/>
      </vt:variant>
      <vt:variant>
        <vt:lpwstr>_Toc224111110</vt:lpwstr>
      </vt:variant>
      <vt:variant>
        <vt:i4>1376310</vt:i4>
      </vt:variant>
      <vt:variant>
        <vt:i4>38</vt:i4>
      </vt:variant>
      <vt:variant>
        <vt:i4>0</vt:i4>
      </vt:variant>
      <vt:variant>
        <vt:i4>5</vt:i4>
      </vt:variant>
      <vt:variant>
        <vt:lpwstr/>
      </vt:variant>
      <vt:variant>
        <vt:lpwstr>_Toc224111109</vt:lpwstr>
      </vt:variant>
      <vt:variant>
        <vt:i4>1376310</vt:i4>
      </vt:variant>
      <vt:variant>
        <vt:i4>32</vt:i4>
      </vt:variant>
      <vt:variant>
        <vt:i4>0</vt:i4>
      </vt:variant>
      <vt:variant>
        <vt:i4>5</vt:i4>
      </vt:variant>
      <vt:variant>
        <vt:lpwstr/>
      </vt:variant>
      <vt:variant>
        <vt:lpwstr>_Toc224111108</vt:lpwstr>
      </vt:variant>
      <vt:variant>
        <vt:i4>1376310</vt:i4>
      </vt:variant>
      <vt:variant>
        <vt:i4>26</vt:i4>
      </vt:variant>
      <vt:variant>
        <vt:i4>0</vt:i4>
      </vt:variant>
      <vt:variant>
        <vt:i4>5</vt:i4>
      </vt:variant>
      <vt:variant>
        <vt:lpwstr/>
      </vt:variant>
      <vt:variant>
        <vt:lpwstr>_Toc224111107</vt:lpwstr>
      </vt:variant>
      <vt:variant>
        <vt:i4>1376310</vt:i4>
      </vt:variant>
      <vt:variant>
        <vt:i4>20</vt:i4>
      </vt:variant>
      <vt:variant>
        <vt:i4>0</vt:i4>
      </vt:variant>
      <vt:variant>
        <vt:i4>5</vt:i4>
      </vt:variant>
      <vt:variant>
        <vt:lpwstr/>
      </vt:variant>
      <vt:variant>
        <vt:lpwstr>_Toc224111106</vt:lpwstr>
      </vt:variant>
      <vt:variant>
        <vt:i4>1376310</vt:i4>
      </vt:variant>
      <vt:variant>
        <vt:i4>14</vt:i4>
      </vt:variant>
      <vt:variant>
        <vt:i4>0</vt:i4>
      </vt:variant>
      <vt:variant>
        <vt:i4>5</vt:i4>
      </vt:variant>
      <vt:variant>
        <vt:lpwstr/>
      </vt:variant>
      <vt:variant>
        <vt:lpwstr>_Toc224111105</vt:lpwstr>
      </vt:variant>
      <vt:variant>
        <vt:i4>1376310</vt:i4>
      </vt:variant>
      <vt:variant>
        <vt:i4>8</vt:i4>
      </vt:variant>
      <vt:variant>
        <vt:i4>0</vt:i4>
      </vt:variant>
      <vt:variant>
        <vt:i4>5</vt:i4>
      </vt:variant>
      <vt:variant>
        <vt:lpwstr/>
      </vt:variant>
      <vt:variant>
        <vt:lpwstr>_Toc224111104</vt:lpwstr>
      </vt:variant>
      <vt:variant>
        <vt:i4>1376310</vt:i4>
      </vt:variant>
      <vt:variant>
        <vt:i4>2</vt:i4>
      </vt:variant>
      <vt:variant>
        <vt:i4>0</vt:i4>
      </vt:variant>
      <vt:variant>
        <vt:i4>5</vt:i4>
      </vt:variant>
      <vt:variant>
        <vt:lpwstr/>
      </vt:variant>
      <vt:variant>
        <vt:lpwstr>_Toc224111103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20210324_Draft_SWD_ZP_digital_solution_V3.1-ISC LWformat</dc:title>
  <dc:subject/>
  <dc:creator/>
  <cp:keywords/>
  <dc:description>ISC version with cover page updated</dc:description>
  <cp:lastModifiedBy>WOJCIECHOWSKA Eliza (SG)</cp:lastModifiedBy>
  <cp:revision>6</cp:revision>
  <cp:lastPrinted>2025-12-15T01:54:00Z</cp:lastPrinted>
  <dcterms:created xsi:type="dcterms:W3CDTF">2026-03-12T13:45:00Z</dcterms:created>
  <dcterms:modified xsi:type="dcterms:W3CDTF">2026-03-16T09:35:00Z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CPTemplateID">
    <vt:lpwstr>CP-025</vt:lpwstr>
  </property>
  <property fmtid="{D5CDD505-2E9C-101B-9397-08002B2CF9AE}" pid="6" name="Created using">
    <vt:lpwstr>LW 7.0.1, Build 20190916</vt:lpwstr>
  </property>
  <property fmtid="{D5CDD505-2E9C-101B-9397-08002B2CF9AE}" pid="7" name="_LW_INVALIDATED__LW_INVALIDATED__LW_INVALIDATED__LW_INVALIDATED__LW_INVALIDATED__LW_INVALIDATED__LW_INVALIDATED__LW_INVALIDATED__LW_INVALIDATED__LW_INVALIDATED__LW_INVALIDATED_ContentTypeId">
    <vt:lpwstr>0x010100087E4EC354ADFB40AC5D4FC129E379BA</vt:lpwstr>
  </property>
  <property fmtid="{D5CDD505-2E9C-101B-9397-08002B2CF9AE}" pid="8" name="_LW_INVALIDATED__LW_INVALIDATED__LW_INVALIDATED__LW_INVALIDATED__LW_INVALIDATED__LW_INVALIDATED__LW_INVALIDATED__LW_INVALIDATED__LW_INVALIDATED__LW_INVALIDATED_ContentTypeId">
    <vt:lpwstr>0x010100258AA79CEB83498886A3A0868112325000DFE0EE431CC8854FB46F81E5E5EC7455</vt:lpwstr>
  </property>
  <property fmtid="{D5CDD505-2E9C-101B-9397-08002B2CF9AE}" pid="9" name="_LW_INVALIDATED__LW_INVALIDATED__LW_INVALIDATED__LW_INVALIDATED__LW_INVALIDATED_ContentTypeId">
    <vt:lpwstr>0x010100258AA79CEB83498886A3A0868112325000643B626E1EAB514C83E78F2E0DF907BB</vt:lpwstr>
  </property>
  <property fmtid="{D5CDD505-2E9C-101B-9397-08002B2CF9AE}" pid="10" name="_LW_INVALIDATED__LW_INVALIDATED__LW_INVALIDATED__LW_INVALIDATED_ContentTypeId">
    <vt:lpwstr>0x0101003580FB2F397B3D448BFDC6DF71B5B186</vt:lpwstr>
  </property>
  <property fmtid="{D5CDD505-2E9C-101B-9397-08002B2CF9AE}" pid="11" name="MSIP_Label_6bd9ddd1-4d20-43f6-abfa-fc3c07406f94_Enabled">
    <vt:lpwstr>true</vt:lpwstr>
  </property>
  <property fmtid="{D5CDD505-2E9C-101B-9397-08002B2CF9AE}" pid="12" name="MSIP_Label_6bd9ddd1-4d20-43f6-abfa-fc3c07406f94_SetDate">
    <vt:lpwstr>2025-10-24T07:29:33Z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a9c97ebf-e450-4727-b34a-43041cccfcfd</vt:lpwstr>
  </property>
  <property fmtid="{D5CDD505-2E9C-101B-9397-08002B2CF9AE}" pid="17" name="MSIP_Label_6bd9ddd1-4d20-43f6-abfa-fc3c07406f94_ContentBits">
    <vt:lpwstr>0</vt:lpwstr>
  </property>
  <property fmtid="{D5CDD505-2E9C-101B-9397-08002B2CF9AE}" pid="18" name="MSIP_Label_6bd9ddd1-4d20-43f6-abfa-fc3c07406f94_Tag">
    <vt:lpwstr>10, 3, 0, 1</vt:lpwstr>
  </property>
  <property fmtid="{D5CDD505-2E9C-101B-9397-08002B2CF9AE}" pid="19" name="ContentTypeId">
    <vt:lpwstr>0x01010014791A109AB1DC41A76929AC2EC32806</vt:lpwstr>
  </property>
  <property fmtid="{D5CDD505-2E9C-101B-9397-08002B2CF9AE}" pid="20" name="DocStatus">
    <vt:lpwstr>Green</vt:lpwstr>
  </property>
  <property fmtid="{D5CDD505-2E9C-101B-9397-08002B2CF9AE}" pid="21" name="Last edited using">
    <vt:lpwstr>LW 9.2, Build 20250828</vt:lpwstr>
  </property>
  <property fmtid="{D5CDD505-2E9C-101B-9397-08002B2CF9AE}" pid="22" name="MediaServiceImageTags">
    <vt:lpwstr/>
  </property>
</Properties>
</file>